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F87F" w14:textId="2E0F3674" w:rsidR="00F45F3C" w:rsidRPr="002973CE" w:rsidRDefault="00B52AA6" w:rsidP="007B3F56">
      <w:pPr>
        <w:pBdr>
          <w:bottom w:val="single" w:sz="12" w:space="1" w:color="auto"/>
        </w:pBdr>
        <w:ind w:left="-1134"/>
        <w:jc w:val="right"/>
        <w:rPr>
          <w:rFonts w:ascii="Arial" w:hAnsi="Arial" w:cs="Arial"/>
          <w:color w:val="1F3864"/>
          <w:sz w:val="56"/>
          <w:szCs w:val="56"/>
        </w:rPr>
      </w:pPr>
      <w:bookmarkStart w:id="0" w:name="_Hlk116725228"/>
      <w:r>
        <w:rPr>
          <w:rFonts w:ascii="Arial" w:hAnsi="Arial" w:cs="Arial"/>
          <w:noProof/>
          <w:color w:val="1F3864"/>
          <w:sz w:val="56"/>
          <w:szCs w:val="56"/>
        </w:rPr>
        <w:drawing>
          <wp:anchor distT="0" distB="0" distL="114300" distR="114300" simplePos="0" relativeHeight="251657216" behindDoc="0" locked="0" layoutInCell="1" allowOverlap="1" wp14:anchorId="4653A6A0" wp14:editId="1DD7ED36">
            <wp:simplePos x="0" y="0"/>
            <wp:positionH relativeFrom="column">
              <wp:posOffset>-63327</wp:posOffset>
            </wp:positionH>
            <wp:positionV relativeFrom="paragraph">
              <wp:posOffset>0</wp:posOffset>
            </wp:positionV>
            <wp:extent cx="874643" cy="874643"/>
            <wp:effectExtent l="0" t="0" r="1905" b="1905"/>
            <wp:wrapSquare wrapText="r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643" cy="874643"/>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1F3864"/>
          <w:sz w:val="24"/>
          <w:szCs w:val="24"/>
        </w:rPr>
        <w:drawing>
          <wp:anchor distT="0" distB="0" distL="114300" distR="114300" simplePos="0" relativeHeight="251658240" behindDoc="0" locked="0" layoutInCell="1" allowOverlap="1" wp14:anchorId="122C1814" wp14:editId="48153262">
            <wp:simplePos x="0" y="0"/>
            <wp:positionH relativeFrom="column">
              <wp:posOffset>843611</wp:posOffset>
            </wp:positionH>
            <wp:positionV relativeFrom="paragraph">
              <wp:posOffset>0</wp:posOffset>
            </wp:positionV>
            <wp:extent cx="891540" cy="874395"/>
            <wp:effectExtent l="0" t="0" r="0" b="0"/>
            <wp:wrapSquare wrapText="right"/>
            <wp:docPr id="3" name="Image 1" descr="Conseil scolaire catholique MonAvenir » Baccalauréa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seil scolaire catholique MonAvenir » Baccalauréat Internatio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1540" cy="874395"/>
                    </a:xfrm>
                    <a:prstGeom prst="rect">
                      <a:avLst/>
                    </a:prstGeom>
                    <a:noFill/>
                  </pic:spPr>
                </pic:pic>
              </a:graphicData>
            </a:graphic>
            <wp14:sizeRelH relativeFrom="page">
              <wp14:pctWidth>0</wp14:pctWidth>
            </wp14:sizeRelH>
            <wp14:sizeRelV relativeFrom="page">
              <wp14:pctHeight>0</wp14:pctHeight>
            </wp14:sizeRelV>
          </wp:anchor>
        </w:drawing>
      </w:r>
      <w:r w:rsidR="00F45F3C" w:rsidRPr="002973CE">
        <w:rPr>
          <w:rFonts w:ascii="Arial" w:hAnsi="Arial" w:cs="Arial"/>
          <w:color w:val="1F3864"/>
          <w:sz w:val="56"/>
          <w:szCs w:val="56"/>
        </w:rPr>
        <w:t>École Mathieu-Martin</w:t>
      </w:r>
    </w:p>
    <w:p w14:paraId="41C3F1F5" w14:textId="77777777" w:rsidR="00F45F3C" w:rsidRPr="002973CE" w:rsidRDefault="00EF27EB" w:rsidP="00F45F3C">
      <w:pPr>
        <w:jc w:val="right"/>
        <w:rPr>
          <w:rFonts w:ascii="Arial" w:hAnsi="Arial" w:cs="Arial"/>
          <w:color w:val="1F3864"/>
        </w:rPr>
      </w:pPr>
      <w:r w:rsidRPr="002973CE">
        <w:rPr>
          <w:rFonts w:ascii="Arial" w:hAnsi="Arial" w:cs="Arial"/>
          <w:color w:val="1F3864"/>
        </w:rPr>
        <w:t>511,</w:t>
      </w:r>
      <w:r w:rsidR="00F45F3C" w:rsidRPr="002973CE">
        <w:rPr>
          <w:rFonts w:ascii="Arial" w:hAnsi="Arial" w:cs="Arial"/>
          <w:color w:val="1F3864"/>
        </w:rPr>
        <w:t xml:space="preserve"> rue Champlain, Dieppe, NB, E1A 1P2</w:t>
      </w:r>
    </w:p>
    <w:p w14:paraId="4A8EE255" w14:textId="1CF88815" w:rsidR="00047247" w:rsidRPr="00D479C1" w:rsidRDefault="00897D4A" w:rsidP="00D479C1">
      <w:pPr>
        <w:jc w:val="right"/>
        <w:rPr>
          <w:rFonts w:ascii="Arial" w:hAnsi="Arial" w:cs="Arial"/>
          <w:color w:val="1F3864"/>
        </w:rPr>
      </w:pPr>
      <w:r w:rsidRPr="002973CE">
        <w:rPr>
          <w:rFonts w:ascii="Arial" w:hAnsi="Arial" w:cs="Arial"/>
          <w:color w:val="1F3864"/>
        </w:rPr>
        <w:t xml:space="preserve">      </w:t>
      </w:r>
      <w:r w:rsidR="00F45F3C" w:rsidRPr="002973CE">
        <w:rPr>
          <w:rFonts w:ascii="Arial" w:hAnsi="Arial" w:cs="Arial"/>
          <w:color w:val="1F3864"/>
        </w:rPr>
        <w:t>Téléphone (506)</w:t>
      </w:r>
      <w:r w:rsidR="004024DA">
        <w:rPr>
          <w:rFonts w:ascii="Arial" w:hAnsi="Arial" w:cs="Arial"/>
          <w:color w:val="1F3864"/>
        </w:rPr>
        <w:t xml:space="preserve"> </w:t>
      </w:r>
      <w:r w:rsidR="00F45F3C" w:rsidRPr="002973CE">
        <w:rPr>
          <w:rFonts w:ascii="Arial" w:hAnsi="Arial" w:cs="Arial"/>
          <w:color w:val="1F3864"/>
        </w:rPr>
        <w:t>856-2770</w:t>
      </w:r>
    </w:p>
    <w:bookmarkEnd w:id="0"/>
    <w:p w14:paraId="0179EB50" w14:textId="77777777" w:rsidR="00A87F51" w:rsidRDefault="00A87F51" w:rsidP="007B3F56">
      <w:pPr>
        <w:rPr>
          <w:rFonts w:ascii="Arial" w:hAnsi="Arial" w:cs="Arial"/>
          <w:b/>
          <w:bCs/>
          <w:color w:val="1F3864" w:themeColor="accent1" w:themeShade="80"/>
          <w:sz w:val="32"/>
          <w:szCs w:val="32"/>
          <w:u w:val="single"/>
        </w:rPr>
      </w:pPr>
    </w:p>
    <w:p w14:paraId="5F62E767" w14:textId="238C8630" w:rsidR="00B656C8" w:rsidRPr="00306B45" w:rsidRDefault="00B656C8" w:rsidP="007B3F56">
      <w:pPr>
        <w:rPr>
          <w:rFonts w:ascii="Arial" w:hAnsi="Arial" w:cs="Arial"/>
          <w:b/>
          <w:bCs/>
          <w:color w:val="1F3864" w:themeColor="accent1" w:themeShade="80"/>
          <w:sz w:val="28"/>
          <w:szCs w:val="28"/>
          <w:u w:val="single"/>
        </w:rPr>
      </w:pPr>
      <w:r w:rsidRPr="00306B45">
        <w:rPr>
          <w:rFonts w:ascii="Arial" w:hAnsi="Arial" w:cs="Arial"/>
          <w:b/>
          <w:bCs/>
          <w:color w:val="1F3864" w:themeColor="accent1" w:themeShade="80"/>
          <w:sz w:val="28"/>
          <w:szCs w:val="28"/>
          <w:u w:val="single"/>
        </w:rPr>
        <w:t>Politique d</w:t>
      </w:r>
      <w:r w:rsidR="0067129A" w:rsidRPr="00306B45">
        <w:rPr>
          <w:rFonts w:ascii="Arial" w:hAnsi="Arial" w:cs="Arial"/>
          <w:b/>
          <w:bCs/>
          <w:color w:val="1F3864" w:themeColor="accent1" w:themeShade="80"/>
          <w:sz w:val="28"/>
          <w:szCs w:val="28"/>
          <w:u w:val="single"/>
        </w:rPr>
        <w:t>’éducation inclusive</w:t>
      </w:r>
    </w:p>
    <w:p w14:paraId="578DDFDD" w14:textId="77777777" w:rsidR="00BE3207" w:rsidRPr="00860896" w:rsidRDefault="00BE3207" w:rsidP="00047247">
      <w:pPr>
        <w:rPr>
          <w:rFonts w:ascii="Arial" w:hAnsi="Arial" w:cs="Arial"/>
          <w:b/>
          <w:bCs/>
          <w:color w:val="1F3864" w:themeColor="accent1" w:themeShade="80"/>
          <w:sz w:val="24"/>
          <w:szCs w:val="24"/>
        </w:rPr>
      </w:pPr>
    </w:p>
    <w:p w14:paraId="624209A1" w14:textId="1413DD8D" w:rsidR="00BE3207" w:rsidRPr="00306B45" w:rsidRDefault="00BE3207" w:rsidP="00BE3207">
      <w:pPr>
        <w:spacing w:after="120" w:line="276" w:lineRule="auto"/>
        <w:rPr>
          <w:rFonts w:ascii="Arial" w:hAnsi="Arial" w:cs="Arial"/>
          <w:color w:val="1F3864" w:themeColor="accent1" w:themeShade="80"/>
        </w:rPr>
      </w:pPr>
      <w:r w:rsidRPr="00306B45">
        <w:rPr>
          <w:rFonts w:ascii="Arial" w:hAnsi="Arial" w:cs="Arial"/>
          <w:color w:val="1F3864" w:themeColor="accent1" w:themeShade="80"/>
        </w:rPr>
        <w:t>L’École Mathieu Martin</w:t>
      </w:r>
      <w:r w:rsidR="009608DE">
        <w:rPr>
          <w:rFonts w:ascii="Arial" w:hAnsi="Arial" w:cs="Arial"/>
          <w:color w:val="1F3864" w:themeColor="accent1" w:themeShade="80"/>
        </w:rPr>
        <w:t>,</w:t>
      </w:r>
      <w:r w:rsidRPr="00306B45">
        <w:rPr>
          <w:rFonts w:ascii="Arial" w:hAnsi="Arial" w:cs="Arial"/>
          <w:color w:val="1F3864" w:themeColor="accent1" w:themeShade="80"/>
        </w:rPr>
        <w:t xml:space="preserve"> étant une école publique du système scolaire de la province du Nouveau-Bruswick</w:t>
      </w:r>
      <w:r w:rsidR="009608DE">
        <w:rPr>
          <w:rFonts w:ascii="Arial" w:hAnsi="Arial" w:cs="Arial"/>
          <w:color w:val="1F3864" w:themeColor="accent1" w:themeShade="80"/>
        </w:rPr>
        <w:t>,</w:t>
      </w:r>
      <w:r w:rsidRPr="00306B45">
        <w:rPr>
          <w:rFonts w:ascii="Arial" w:hAnsi="Arial" w:cs="Arial"/>
          <w:color w:val="1F3864" w:themeColor="accent1" w:themeShade="80"/>
        </w:rPr>
        <w:t xml:space="preserve"> applique la politique </w:t>
      </w:r>
      <w:r w:rsidR="00B656C8" w:rsidRPr="00306B45">
        <w:rPr>
          <w:rFonts w:ascii="Arial" w:hAnsi="Arial" w:cs="Arial"/>
          <w:color w:val="1F3864" w:themeColor="accent1" w:themeShade="80"/>
        </w:rPr>
        <w:t>322 </w:t>
      </w:r>
      <w:r w:rsidRPr="00306B45">
        <w:rPr>
          <w:rFonts w:ascii="Arial" w:hAnsi="Arial" w:cs="Arial"/>
          <w:color w:val="1F3864" w:themeColor="accent1" w:themeShade="80"/>
        </w:rPr>
        <w:t>sur l’i</w:t>
      </w:r>
      <w:r w:rsidR="00B656C8" w:rsidRPr="00306B45">
        <w:rPr>
          <w:rFonts w:ascii="Arial" w:hAnsi="Arial" w:cs="Arial"/>
          <w:color w:val="1F3864" w:themeColor="accent1" w:themeShade="80"/>
        </w:rPr>
        <w:t xml:space="preserve">nclusion scolaire du </w:t>
      </w:r>
      <w:r w:rsidR="00A961C3" w:rsidRPr="00306B45">
        <w:rPr>
          <w:rFonts w:ascii="Arial" w:hAnsi="Arial" w:cs="Arial"/>
          <w:color w:val="1F3864" w:themeColor="accent1" w:themeShade="80"/>
        </w:rPr>
        <w:t>ministère de l’Éducation</w:t>
      </w:r>
      <w:r w:rsidR="00B656C8" w:rsidRPr="00306B45">
        <w:rPr>
          <w:rFonts w:ascii="Arial" w:hAnsi="Arial" w:cs="Arial"/>
          <w:color w:val="1F3864" w:themeColor="accent1" w:themeShade="80"/>
        </w:rPr>
        <w:t xml:space="preserve"> et du</w:t>
      </w:r>
      <w:r w:rsidR="00157A82" w:rsidRPr="00306B45">
        <w:rPr>
          <w:rFonts w:ascii="Arial" w:hAnsi="Arial" w:cs="Arial"/>
          <w:color w:val="1F3864" w:themeColor="accent1" w:themeShade="80"/>
        </w:rPr>
        <w:t xml:space="preserve"> </w:t>
      </w:r>
      <w:r w:rsidR="004D5C7C" w:rsidRPr="00306B45">
        <w:rPr>
          <w:rFonts w:ascii="Arial" w:hAnsi="Arial" w:cs="Arial"/>
          <w:color w:val="1F3864" w:themeColor="accent1" w:themeShade="80"/>
        </w:rPr>
        <w:t>D</w:t>
      </w:r>
      <w:r w:rsidR="00B656C8" w:rsidRPr="00306B45">
        <w:rPr>
          <w:rFonts w:ascii="Arial" w:hAnsi="Arial" w:cs="Arial"/>
          <w:color w:val="1F3864" w:themeColor="accent1" w:themeShade="80"/>
        </w:rPr>
        <w:t>éveloppement de la petite enfance</w:t>
      </w:r>
      <w:r w:rsidRPr="00306B45">
        <w:rPr>
          <w:rFonts w:ascii="Arial" w:hAnsi="Arial" w:cs="Arial"/>
          <w:color w:val="1F3864" w:themeColor="accent1" w:themeShade="80"/>
        </w:rPr>
        <w:t>.</w:t>
      </w:r>
    </w:p>
    <w:p w14:paraId="0097CB47" w14:textId="44BABA7D" w:rsidR="0006766C" w:rsidRPr="00306B45" w:rsidRDefault="0006766C" w:rsidP="003E7741">
      <w:pPr>
        <w:spacing w:after="120"/>
        <w:rPr>
          <w:rFonts w:ascii="Arial" w:hAnsi="Arial" w:cs="Arial"/>
          <w:b/>
          <w:bCs/>
          <w:color w:val="1F3864" w:themeColor="accent1" w:themeShade="80"/>
        </w:rPr>
      </w:pPr>
      <w:r w:rsidRPr="00306B45">
        <w:rPr>
          <w:rFonts w:ascii="Arial" w:hAnsi="Arial" w:cs="Arial"/>
          <w:b/>
          <w:bCs/>
          <w:color w:val="1F3864" w:themeColor="accent1" w:themeShade="80"/>
        </w:rPr>
        <w:t xml:space="preserve">5.0 Buts et </w:t>
      </w:r>
      <w:r w:rsidR="00DE184D" w:rsidRPr="00306B45">
        <w:rPr>
          <w:rFonts w:ascii="Arial" w:hAnsi="Arial" w:cs="Arial"/>
          <w:b/>
          <w:bCs/>
          <w:color w:val="1F3864" w:themeColor="accent1" w:themeShade="80"/>
        </w:rPr>
        <w:t>principes</w:t>
      </w:r>
    </w:p>
    <w:p w14:paraId="4E1965B0" w14:textId="4BB08D55" w:rsidR="00986AE4" w:rsidRPr="00DA1AC6" w:rsidRDefault="00DA1AC6" w:rsidP="00DD7004">
      <w:pPr>
        <w:spacing w:after="120"/>
        <w:rPr>
          <w:rFonts w:ascii="Arial" w:hAnsi="Arial" w:cs="Arial"/>
          <w:color w:val="1F3864" w:themeColor="accent1" w:themeShade="80"/>
        </w:rPr>
      </w:pPr>
      <w:r>
        <w:rPr>
          <w:rFonts w:ascii="Arial" w:hAnsi="Arial" w:cs="Arial"/>
          <w:color w:val="1F3864" w:themeColor="accent1" w:themeShade="80"/>
        </w:rPr>
        <w:t>5.1 L’inclusion scolaire dans les écoles publiques présente les caractéristiques suivantes :</w:t>
      </w:r>
    </w:p>
    <w:p w14:paraId="3789E069" w14:textId="39EED953" w:rsidR="00B656C8" w:rsidRPr="00306B45" w:rsidRDefault="00B656C8" w:rsidP="00DA1AC6">
      <w:pPr>
        <w:pStyle w:val="Paragraphedeliste"/>
        <w:numPr>
          <w:ilvl w:val="0"/>
          <w:numId w:val="2"/>
        </w:numPr>
        <w:spacing w:line="276" w:lineRule="auto"/>
        <w:ind w:left="709" w:hanging="502"/>
        <w:rPr>
          <w:rFonts w:ascii="Arial" w:hAnsi="Arial" w:cs="Arial"/>
          <w:color w:val="1F3864" w:themeColor="accent1" w:themeShade="80"/>
        </w:rPr>
      </w:pPr>
      <w:r w:rsidRPr="00306B45">
        <w:rPr>
          <w:rFonts w:ascii="Arial" w:hAnsi="Arial" w:cs="Arial"/>
          <w:color w:val="1F3864" w:themeColor="accent1" w:themeShade="80"/>
        </w:rPr>
        <w:t>La reconnaissance du principe que chaque élève peut apprendre</w:t>
      </w:r>
      <w:r w:rsidR="000842F0" w:rsidRPr="00306B45">
        <w:rPr>
          <w:rFonts w:ascii="Arial" w:hAnsi="Arial" w:cs="Arial"/>
          <w:color w:val="1F3864" w:themeColor="accent1" w:themeShade="80"/>
        </w:rPr>
        <w:t> </w:t>
      </w:r>
      <w:r w:rsidRPr="00306B45">
        <w:rPr>
          <w:rFonts w:ascii="Arial" w:hAnsi="Arial" w:cs="Arial"/>
          <w:color w:val="1F3864" w:themeColor="accent1" w:themeShade="80"/>
        </w:rPr>
        <w:t xml:space="preserve">; </w:t>
      </w:r>
    </w:p>
    <w:p w14:paraId="3F72FDED" w14:textId="1B14054B" w:rsidR="00B656C8" w:rsidRPr="00306B45" w:rsidRDefault="00B656C8" w:rsidP="00DA1AC6">
      <w:pPr>
        <w:pStyle w:val="Paragraphedeliste"/>
        <w:numPr>
          <w:ilvl w:val="0"/>
          <w:numId w:val="2"/>
        </w:numPr>
        <w:spacing w:line="276" w:lineRule="auto"/>
        <w:ind w:left="709" w:hanging="502"/>
        <w:rPr>
          <w:rFonts w:ascii="Arial" w:hAnsi="Arial" w:cs="Arial"/>
          <w:color w:val="1F3864" w:themeColor="accent1" w:themeShade="80"/>
        </w:rPr>
      </w:pPr>
      <w:r w:rsidRPr="00306B45">
        <w:rPr>
          <w:rFonts w:ascii="Arial" w:hAnsi="Arial" w:cs="Arial"/>
          <w:color w:val="1F3864" w:themeColor="accent1" w:themeShade="80"/>
        </w:rPr>
        <w:t>L’universalité, c’est-à-dire que les programmes d</w:t>
      </w:r>
      <w:r w:rsidR="000842F0" w:rsidRPr="00306B45">
        <w:rPr>
          <w:rFonts w:ascii="Arial" w:hAnsi="Arial" w:cs="Arial"/>
          <w:color w:val="1F3864" w:themeColor="accent1" w:themeShade="80"/>
        </w:rPr>
        <w:t>’</w:t>
      </w:r>
      <w:r w:rsidRPr="00306B45">
        <w:rPr>
          <w:rFonts w:ascii="Arial" w:hAnsi="Arial" w:cs="Arial"/>
          <w:color w:val="1F3864" w:themeColor="accent1" w:themeShade="80"/>
        </w:rPr>
        <w:t>études provinciaux sont offerts équitablement à tous les élèves dans un milieu d’apprentissage commun et inclusif partagé avec des pairs du même groupe d</w:t>
      </w:r>
      <w:r w:rsidR="000842F0" w:rsidRPr="00306B45">
        <w:rPr>
          <w:rFonts w:ascii="Arial" w:hAnsi="Arial" w:cs="Arial"/>
          <w:color w:val="1F3864" w:themeColor="accent1" w:themeShade="80"/>
        </w:rPr>
        <w:t>’</w:t>
      </w:r>
      <w:r w:rsidRPr="00306B45">
        <w:rPr>
          <w:rFonts w:ascii="Arial" w:hAnsi="Arial" w:cs="Arial"/>
          <w:color w:val="1F3864" w:themeColor="accent1" w:themeShade="80"/>
        </w:rPr>
        <w:t>âge dans leur école de quartier</w:t>
      </w:r>
      <w:r w:rsidR="000842F0" w:rsidRPr="00306B45">
        <w:rPr>
          <w:rFonts w:ascii="Arial" w:hAnsi="Arial" w:cs="Arial"/>
          <w:color w:val="1F3864" w:themeColor="accent1" w:themeShade="80"/>
        </w:rPr>
        <w:t> </w:t>
      </w:r>
      <w:r w:rsidRPr="00306B45">
        <w:rPr>
          <w:rFonts w:ascii="Arial" w:hAnsi="Arial" w:cs="Arial"/>
          <w:color w:val="1F3864" w:themeColor="accent1" w:themeShade="80"/>
        </w:rPr>
        <w:t xml:space="preserve">; </w:t>
      </w:r>
    </w:p>
    <w:p w14:paraId="39844883" w14:textId="773697BB" w:rsidR="00B656C8" w:rsidRPr="00306B45" w:rsidRDefault="00B656C8" w:rsidP="00DA1AC6">
      <w:pPr>
        <w:pStyle w:val="Paragraphedeliste"/>
        <w:numPr>
          <w:ilvl w:val="0"/>
          <w:numId w:val="2"/>
        </w:numPr>
        <w:spacing w:line="276" w:lineRule="auto"/>
        <w:ind w:left="709" w:hanging="502"/>
        <w:rPr>
          <w:rFonts w:ascii="Arial" w:hAnsi="Arial" w:cs="Arial"/>
          <w:color w:val="1F3864" w:themeColor="accent1" w:themeShade="80"/>
        </w:rPr>
      </w:pPr>
      <w:r w:rsidRPr="00306B45">
        <w:rPr>
          <w:rFonts w:ascii="Arial" w:hAnsi="Arial" w:cs="Arial"/>
          <w:color w:val="1F3864" w:themeColor="accent1" w:themeShade="80"/>
        </w:rPr>
        <w:t xml:space="preserve">L’individualisation, pour que le programme éducatif assure le succès de tous les élèves en misant sur leurs forces et leurs besoins individuels et pour qu’il soit fondé </w:t>
      </w:r>
      <w:r w:rsidR="00FA27AC" w:rsidRPr="00306B45">
        <w:rPr>
          <w:rFonts w:ascii="Arial" w:hAnsi="Arial" w:cs="Arial"/>
          <w:color w:val="1F3864" w:themeColor="accent1" w:themeShade="80"/>
        </w:rPr>
        <w:t xml:space="preserve">sur </w:t>
      </w:r>
      <w:r w:rsidR="00F1001C" w:rsidRPr="00306B45">
        <w:rPr>
          <w:rFonts w:ascii="Arial" w:hAnsi="Arial" w:cs="Arial"/>
          <w:color w:val="1F3864" w:themeColor="accent1" w:themeShade="80"/>
        </w:rPr>
        <w:t>l’</w:t>
      </w:r>
      <w:r w:rsidR="00FA27AC" w:rsidRPr="00306B45">
        <w:rPr>
          <w:rFonts w:ascii="Arial" w:hAnsi="Arial" w:cs="Arial"/>
          <w:color w:val="1F3864" w:themeColor="accent1" w:themeShade="80"/>
        </w:rPr>
        <w:t>intérêt</w:t>
      </w:r>
      <w:r w:rsidRPr="00306B45">
        <w:rPr>
          <w:rFonts w:ascii="Arial" w:hAnsi="Arial" w:cs="Arial"/>
          <w:color w:val="1F3864" w:themeColor="accent1" w:themeShade="80"/>
        </w:rPr>
        <w:t xml:space="preserve"> de chacun</w:t>
      </w:r>
      <w:r w:rsidR="000842F0" w:rsidRPr="00306B45">
        <w:rPr>
          <w:rFonts w:ascii="Arial" w:hAnsi="Arial" w:cs="Arial"/>
          <w:color w:val="1F3864" w:themeColor="accent1" w:themeShade="80"/>
        </w:rPr>
        <w:t> </w:t>
      </w:r>
      <w:r w:rsidRPr="00306B45">
        <w:rPr>
          <w:rFonts w:ascii="Arial" w:hAnsi="Arial" w:cs="Arial"/>
          <w:color w:val="1F3864" w:themeColor="accent1" w:themeShade="80"/>
        </w:rPr>
        <w:t xml:space="preserve">; </w:t>
      </w:r>
    </w:p>
    <w:p w14:paraId="22DE9425" w14:textId="48AC87CE" w:rsidR="00B656C8" w:rsidRPr="00306B45" w:rsidRDefault="00B656C8" w:rsidP="00DA1AC6">
      <w:pPr>
        <w:pStyle w:val="Paragraphedeliste"/>
        <w:numPr>
          <w:ilvl w:val="0"/>
          <w:numId w:val="2"/>
        </w:numPr>
        <w:spacing w:line="276" w:lineRule="auto"/>
        <w:ind w:left="709" w:hanging="502"/>
        <w:rPr>
          <w:rFonts w:ascii="Arial" w:hAnsi="Arial" w:cs="Arial"/>
          <w:color w:val="1F3864" w:themeColor="accent1" w:themeShade="80"/>
        </w:rPr>
      </w:pPr>
      <w:r w:rsidRPr="00306B45">
        <w:rPr>
          <w:rFonts w:ascii="Arial" w:hAnsi="Arial" w:cs="Arial"/>
          <w:color w:val="1F3864" w:themeColor="accent1" w:themeShade="80"/>
        </w:rPr>
        <w:t>La capacité d’adaptation du personnel scolaire</w:t>
      </w:r>
      <w:r w:rsidR="000842F0" w:rsidRPr="00306B45">
        <w:rPr>
          <w:rFonts w:ascii="Arial" w:hAnsi="Arial" w:cs="Arial"/>
          <w:color w:val="1F3864" w:themeColor="accent1" w:themeShade="80"/>
        </w:rPr>
        <w:t> </w:t>
      </w:r>
      <w:r w:rsidRPr="00306B45">
        <w:rPr>
          <w:rFonts w:ascii="Arial" w:hAnsi="Arial" w:cs="Arial"/>
          <w:color w:val="1F3864" w:themeColor="accent1" w:themeShade="80"/>
        </w:rPr>
        <w:t xml:space="preserve">; </w:t>
      </w:r>
    </w:p>
    <w:p w14:paraId="4FE61F04" w14:textId="385C7E24" w:rsidR="00B656C8" w:rsidRPr="00306B45" w:rsidRDefault="00B656C8" w:rsidP="00DA1AC6">
      <w:pPr>
        <w:pStyle w:val="Paragraphedeliste"/>
        <w:numPr>
          <w:ilvl w:val="0"/>
          <w:numId w:val="2"/>
        </w:numPr>
        <w:spacing w:line="276" w:lineRule="auto"/>
        <w:ind w:left="709" w:hanging="502"/>
        <w:rPr>
          <w:rFonts w:ascii="Arial" w:hAnsi="Arial" w:cs="Arial"/>
          <w:color w:val="1F3864" w:themeColor="accent1" w:themeShade="80"/>
        </w:rPr>
      </w:pPr>
      <w:r w:rsidRPr="00306B45">
        <w:rPr>
          <w:rFonts w:ascii="Arial" w:hAnsi="Arial" w:cs="Arial"/>
          <w:color w:val="1F3864" w:themeColor="accent1" w:themeShade="80"/>
        </w:rPr>
        <w:t>Le respect de la diversité des élèves et du personnel scolaire</w:t>
      </w:r>
      <w:r w:rsidR="0016325E" w:rsidRPr="00306B45">
        <w:rPr>
          <w:rFonts w:ascii="Arial" w:hAnsi="Arial" w:cs="Arial"/>
          <w:color w:val="1F3864" w:themeColor="accent1" w:themeShade="80"/>
        </w:rPr>
        <w:t>,</w:t>
      </w:r>
      <w:r w:rsidRPr="00306B45">
        <w:rPr>
          <w:rFonts w:ascii="Arial" w:hAnsi="Arial" w:cs="Arial"/>
          <w:color w:val="1F3864" w:themeColor="accent1" w:themeShade="80"/>
        </w:rPr>
        <w:t xml:space="preserve"> quant à leur race, couleur, croyance, origine nationale, ascendance, lieu d’origine, âge, incapacité, état matrimonial, orientation ou identité sexuelle réelle ou perçue, sexe, condition sociale ou convictions ou activités politiques</w:t>
      </w:r>
      <w:r w:rsidR="000842F0" w:rsidRPr="00306B45">
        <w:rPr>
          <w:rFonts w:ascii="Arial" w:hAnsi="Arial" w:cs="Arial"/>
          <w:color w:val="1F3864" w:themeColor="accent1" w:themeShade="80"/>
        </w:rPr>
        <w:t> </w:t>
      </w:r>
      <w:r w:rsidRPr="00306B45">
        <w:rPr>
          <w:rFonts w:ascii="Arial" w:hAnsi="Arial" w:cs="Arial"/>
          <w:color w:val="1F3864" w:themeColor="accent1" w:themeShade="80"/>
        </w:rPr>
        <w:t xml:space="preserve">; </w:t>
      </w:r>
    </w:p>
    <w:p w14:paraId="4A40B28C" w14:textId="0C61A583" w:rsidR="00B656C8" w:rsidRPr="00306B45" w:rsidRDefault="00B656C8" w:rsidP="00DA1AC6">
      <w:pPr>
        <w:pStyle w:val="Paragraphedeliste"/>
        <w:numPr>
          <w:ilvl w:val="0"/>
          <w:numId w:val="2"/>
        </w:numPr>
        <w:spacing w:after="120" w:line="276" w:lineRule="auto"/>
        <w:ind w:left="709" w:hanging="502"/>
        <w:rPr>
          <w:rFonts w:ascii="Arial" w:hAnsi="Arial" w:cs="Arial"/>
          <w:color w:val="1F3864" w:themeColor="accent1" w:themeShade="80"/>
        </w:rPr>
      </w:pPr>
      <w:r w:rsidRPr="00306B45">
        <w:rPr>
          <w:rFonts w:ascii="Arial" w:hAnsi="Arial" w:cs="Arial"/>
          <w:color w:val="1F3864" w:themeColor="accent1" w:themeShade="80"/>
        </w:rPr>
        <w:t xml:space="preserve">Un environnement physique accessible au sein duquel tous les élèves et le personnel se sentent bienvenus, en sécurité et valorisés. </w:t>
      </w:r>
    </w:p>
    <w:p w14:paraId="760487F6" w14:textId="78D1F773" w:rsidR="00BF10F9" w:rsidRPr="00306B45" w:rsidRDefault="003E7741" w:rsidP="00306B45">
      <w:pPr>
        <w:spacing w:line="276" w:lineRule="auto"/>
        <w:rPr>
          <w:rFonts w:ascii="Arial" w:hAnsi="Arial" w:cs="Arial"/>
          <w:color w:val="1F3864" w:themeColor="accent1" w:themeShade="80"/>
        </w:rPr>
      </w:pPr>
      <w:r w:rsidRPr="00306B45">
        <w:rPr>
          <w:rFonts w:ascii="Arial" w:hAnsi="Arial" w:cs="Arial"/>
          <w:color w:val="1F3864" w:themeColor="accent1" w:themeShade="80"/>
        </w:rPr>
        <w:t>5.2 Un</w:t>
      </w:r>
      <w:r w:rsidR="003F7718" w:rsidRPr="00306B45">
        <w:rPr>
          <w:rFonts w:ascii="Arial" w:hAnsi="Arial" w:cs="Arial"/>
          <w:color w:val="1F3864" w:themeColor="accent1" w:themeShade="80"/>
        </w:rPr>
        <w:t xml:space="preserve"> élément clé du maintien d’un système d’éducation inclusif consiste à éliminer les obstacles à l’apprentissage et à assurer un accès à la formation ciblée du personnel scolaire. Le ministère de l’Éducation et du Développement de la petite enfance (MEDPE) et les districts scolaires doivent établir et maintenir un programme de développement professionnel garantissant au personnel enseignant les connaissances et habiletés nécessaires pour être en mesure d’enseigner efficacement à une population étudiante diverse.</w:t>
      </w:r>
    </w:p>
    <w:p w14:paraId="781F3918" w14:textId="1A7F146F" w:rsidR="003F7718" w:rsidRPr="00306B45" w:rsidRDefault="003F7718" w:rsidP="00306B45">
      <w:pPr>
        <w:tabs>
          <w:tab w:val="left" w:pos="397"/>
          <w:tab w:val="left" w:pos="539"/>
          <w:tab w:val="left" w:pos="964"/>
        </w:tabs>
        <w:spacing w:before="120" w:after="120" w:line="276" w:lineRule="auto"/>
        <w:outlineLvl w:val="1"/>
        <w:rPr>
          <w:rFonts w:ascii="Arial" w:hAnsi="Arial" w:cs="Arial"/>
          <w:color w:val="1F3864" w:themeColor="accent1" w:themeShade="80"/>
        </w:rPr>
      </w:pPr>
      <w:r w:rsidRPr="00306B45">
        <w:rPr>
          <w:rFonts w:ascii="Arial" w:hAnsi="Arial" w:cs="Arial"/>
          <w:color w:val="1F3864" w:themeColor="accent1" w:themeShade="80"/>
        </w:rPr>
        <w:t>5.3</w:t>
      </w:r>
      <w:r w:rsidR="00BE3207" w:rsidRPr="00306B45">
        <w:rPr>
          <w:rFonts w:ascii="Arial" w:hAnsi="Arial" w:cs="Arial"/>
          <w:color w:val="1F3864" w:themeColor="accent1" w:themeShade="80"/>
        </w:rPr>
        <w:t xml:space="preserve"> </w:t>
      </w:r>
      <w:r w:rsidRPr="00306B45">
        <w:rPr>
          <w:rFonts w:ascii="Arial" w:hAnsi="Arial" w:cs="Arial"/>
          <w:color w:val="1F3864" w:themeColor="accent1" w:themeShade="80"/>
        </w:rPr>
        <w:t>Les pratiques d’inclusion scolaire sont non seulement nécessaires à l’épanouissement et la réussite de chaque élève, mais elles sont aussi essentielles à l’édification d’une société fondée sur l’inclusion de tous ses membres, conformément à leurs droits fondamentaux de droit commun, de droit civil et de droit de la personne.</w:t>
      </w:r>
    </w:p>
    <w:p w14:paraId="787F0223" w14:textId="64330104" w:rsidR="007526E5" w:rsidRPr="00306B45" w:rsidRDefault="003E7741" w:rsidP="00A0058F">
      <w:pPr>
        <w:tabs>
          <w:tab w:val="left" w:pos="397"/>
          <w:tab w:val="left" w:pos="539"/>
          <w:tab w:val="left" w:pos="964"/>
        </w:tabs>
        <w:spacing w:after="240"/>
        <w:outlineLvl w:val="1"/>
        <w:rPr>
          <w:rFonts w:ascii="Arial" w:hAnsi="Arial" w:cs="Arial"/>
          <w:b/>
          <w:bCs/>
          <w:color w:val="1F3864" w:themeColor="accent1" w:themeShade="80"/>
        </w:rPr>
      </w:pPr>
      <w:r w:rsidRPr="00306B45">
        <w:rPr>
          <w:rFonts w:ascii="Arial" w:hAnsi="Arial" w:cs="Arial"/>
          <w:b/>
          <w:bCs/>
          <w:color w:val="1F3864" w:themeColor="accent1" w:themeShade="80"/>
        </w:rPr>
        <w:t>6</w:t>
      </w:r>
      <w:r w:rsidR="007526E5" w:rsidRPr="00306B45">
        <w:rPr>
          <w:rFonts w:ascii="Arial" w:hAnsi="Arial" w:cs="Arial"/>
          <w:b/>
          <w:bCs/>
          <w:color w:val="1F3864" w:themeColor="accent1" w:themeShade="80"/>
        </w:rPr>
        <w:t xml:space="preserve">.0 </w:t>
      </w:r>
      <w:r w:rsidRPr="00306B45">
        <w:rPr>
          <w:rFonts w:ascii="Arial" w:hAnsi="Arial" w:cs="Arial"/>
          <w:b/>
          <w:bCs/>
          <w:color w:val="1F3864" w:themeColor="accent1" w:themeShade="80"/>
        </w:rPr>
        <w:t>Exigences et normes</w:t>
      </w:r>
    </w:p>
    <w:p w14:paraId="0437211F" w14:textId="596AE9BF" w:rsidR="007526E5" w:rsidRPr="00306B45" w:rsidRDefault="007526E5" w:rsidP="00306B45">
      <w:pPr>
        <w:tabs>
          <w:tab w:val="left" w:pos="397"/>
          <w:tab w:val="left" w:pos="539"/>
          <w:tab w:val="left" w:pos="964"/>
        </w:tabs>
        <w:spacing w:after="120" w:line="276" w:lineRule="auto"/>
        <w:outlineLvl w:val="1"/>
        <w:rPr>
          <w:rFonts w:ascii="Arial" w:hAnsi="Arial" w:cs="Arial"/>
          <w:b/>
          <w:bCs/>
          <w:color w:val="1F3864" w:themeColor="accent1" w:themeShade="80"/>
        </w:rPr>
      </w:pPr>
      <w:r w:rsidRPr="00306B45">
        <w:rPr>
          <w:rFonts w:ascii="Arial" w:hAnsi="Arial" w:cs="Arial"/>
          <w:b/>
          <w:bCs/>
          <w:color w:val="1F3864" w:themeColor="accent1" w:themeShade="80"/>
        </w:rPr>
        <w:t>6.1 Caractéristiques du milieu d’apprentissage commun</w:t>
      </w:r>
    </w:p>
    <w:p w14:paraId="63A61813" w14:textId="1C63C5D5" w:rsidR="00A0058F"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Le milieu d’apprentissage commun implique que la responsabilité incombe au personnel scolaire de faire en sorte que :</w:t>
      </w:r>
    </w:p>
    <w:p w14:paraId="41B9E5E7" w14:textId="1EE1F1BB" w:rsidR="00BE3207" w:rsidRPr="00306B45" w:rsidRDefault="007526E5" w:rsidP="00306B45">
      <w:pPr>
        <w:tabs>
          <w:tab w:val="left" w:pos="397"/>
          <w:tab w:val="left" w:pos="539"/>
          <w:tab w:val="left" w:pos="964"/>
        </w:tabs>
        <w:spacing w:line="276" w:lineRule="auto"/>
        <w:outlineLvl w:val="1"/>
        <w:rPr>
          <w:rFonts w:ascii="Arial" w:hAnsi="Arial" w:cs="Arial"/>
          <w:color w:val="1F3864" w:themeColor="accent1" w:themeShade="80"/>
        </w:rPr>
      </w:pPr>
      <w:r w:rsidRPr="00306B45">
        <w:rPr>
          <w:rFonts w:ascii="Arial" w:hAnsi="Arial" w:cs="Arial"/>
          <w:color w:val="1F3864" w:themeColor="accent1" w:themeShade="80"/>
        </w:rPr>
        <w:lastRenderedPageBreak/>
        <w:t>6.1.1</w:t>
      </w:r>
      <w:r w:rsidR="002035A6" w:rsidRPr="00306B45">
        <w:rPr>
          <w:rFonts w:ascii="Arial" w:hAnsi="Arial" w:cs="Arial"/>
          <w:color w:val="1F3864" w:themeColor="accent1" w:themeShade="80"/>
        </w:rPr>
        <w:t xml:space="preserve"> </w:t>
      </w:r>
      <w:r w:rsidRPr="00306B45">
        <w:rPr>
          <w:rFonts w:ascii="Arial" w:hAnsi="Arial" w:cs="Arial"/>
          <w:color w:val="1F3864" w:themeColor="accent1" w:themeShade="80"/>
        </w:rPr>
        <w:t>L’élève participe pleinement dans un milieu commun conçu pour accueillir tous les élèves et qui lui permet de recevoir un enseignement approprié avec des pairs du même groupe d’âge dans une école de quartier. Ce milieu tient compte du style d’apprentissage de l’élève, de ses besoins et de ses forces.</w:t>
      </w:r>
    </w:p>
    <w:p w14:paraId="5D0343B6" w14:textId="77777777" w:rsidR="00306B45" w:rsidRPr="00306B45" w:rsidRDefault="00306B45" w:rsidP="00306B45">
      <w:pPr>
        <w:tabs>
          <w:tab w:val="left" w:pos="397"/>
          <w:tab w:val="left" w:pos="539"/>
          <w:tab w:val="left" w:pos="964"/>
        </w:tabs>
        <w:spacing w:line="276" w:lineRule="auto"/>
        <w:outlineLvl w:val="1"/>
        <w:rPr>
          <w:rFonts w:ascii="Arial" w:hAnsi="Arial" w:cs="Arial"/>
          <w:color w:val="1F3864" w:themeColor="accent1" w:themeShade="80"/>
        </w:rPr>
      </w:pPr>
    </w:p>
    <w:p w14:paraId="6AFEDDD6" w14:textId="4B183DE2" w:rsidR="007526E5" w:rsidRPr="00306B45" w:rsidRDefault="007526E5" w:rsidP="00306B45">
      <w:pPr>
        <w:tabs>
          <w:tab w:val="left" w:pos="397"/>
          <w:tab w:val="left" w:pos="539"/>
          <w:tab w:val="left" w:pos="964"/>
        </w:tabs>
        <w:spacing w:line="276" w:lineRule="auto"/>
        <w:outlineLvl w:val="1"/>
        <w:rPr>
          <w:rFonts w:ascii="Arial" w:hAnsi="Arial" w:cs="Arial"/>
          <w:color w:val="1F3864" w:themeColor="accent1" w:themeShade="80"/>
        </w:rPr>
      </w:pPr>
      <w:r w:rsidRPr="00306B45">
        <w:rPr>
          <w:rFonts w:ascii="Arial" w:hAnsi="Arial" w:cs="Arial"/>
          <w:color w:val="1F3864" w:themeColor="accent1" w:themeShade="80"/>
        </w:rPr>
        <w:t>6.1.2</w:t>
      </w:r>
      <w:r w:rsidR="00BE3207" w:rsidRPr="00306B45">
        <w:rPr>
          <w:rFonts w:ascii="Arial" w:hAnsi="Arial" w:cs="Arial"/>
          <w:color w:val="1F3864" w:themeColor="accent1" w:themeShade="80"/>
        </w:rPr>
        <w:t xml:space="preserve"> </w:t>
      </w:r>
      <w:r w:rsidRPr="00306B45">
        <w:rPr>
          <w:rFonts w:ascii="Arial" w:hAnsi="Arial" w:cs="Arial"/>
          <w:color w:val="1F3864" w:themeColor="accent1" w:themeShade="80"/>
        </w:rPr>
        <w:t>Les principes de pédagogie centrée sur l’élève y sont appliqués (p. ex. : conception universelle de l’apprentissage, résultats d’apprentissage, formation, évaluation, interventions, appui, accommodations, adaptations et ressources).</w:t>
      </w:r>
    </w:p>
    <w:p w14:paraId="7C0AD9D2" w14:textId="77777777" w:rsidR="00BE3207" w:rsidRPr="00306B45" w:rsidRDefault="00BE3207" w:rsidP="00306B45">
      <w:pPr>
        <w:tabs>
          <w:tab w:val="left" w:pos="397"/>
          <w:tab w:val="left" w:pos="539"/>
          <w:tab w:val="left" w:pos="964"/>
        </w:tabs>
        <w:spacing w:line="276" w:lineRule="auto"/>
        <w:outlineLvl w:val="1"/>
        <w:rPr>
          <w:rFonts w:ascii="Arial" w:hAnsi="Arial" w:cs="Arial"/>
          <w:color w:val="1F3864" w:themeColor="accent1" w:themeShade="80"/>
        </w:rPr>
      </w:pPr>
    </w:p>
    <w:p w14:paraId="71A06029" w14:textId="5F1ECB8F" w:rsidR="00896848" w:rsidRPr="00306B45" w:rsidRDefault="007526E5" w:rsidP="00306B45">
      <w:pPr>
        <w:tabs>
          <w:tab w:val="left" w:pos="397"/>
          <w:tab w:val="left" w:pos="539"/>
          <w:tab w:val="left" w:pos="964"/>
        </w:tabs>
        <w:spacing w:line="276" w:lineRule="auto"/>
        <w:outlineLvl w:val="1"/>
        <w:rPr>
          <w:rFonts w:ascii="Arial" w:hAnsi="Arial" w:cs="Arial"/>
          <w:color w:val="1F3864" w:themeColor="accent1" w:themeShade="80"/>
        </w:rPr>
      </w:pPr>
      <w:r w:rsidRPr="00306B45">
        <w:rPr>
          <w:rFonts w:ascii="Arial" w:hAnsi="Arial" w:cs="Arial"/>
          <w:color w:val="1F3864" w:themeColor="accent1" w:themeShade="80"/>
        </w:rPr>
        <w:t>6.1.3 La mise en œuvre de stratégies d’accommodations est prise en considération au besoin et mises en place en temps opportun.</w:t>
      </w:r>
    </w:p>
    <w:p w14:paraId="3B7404EA" w14:textId="77777777" w:rsidR="00BE3207" w:rsidRPr="00306B45" w:rsidRDefault="00BE3207" w:rsidP="00306B45">
      <w:pPr>
        <w:tabs>
          <w:tab w:val="left" w:pos="397"/>
          <w:tab w:val="left" w:pos="539"/>
          <w:tab w:val="left" w:pos="964"/>
        </w:tabs>
        <w:spacing w:line="276" w:lineRule="auto"/>
        <w:outlineLvl w:val="1"/>
        <w:rPr>
          <w:rFonts w:ascii="Arial" w:hAnsi="Arial" w:cs="Arial"/>
          <w:color w:val="1F3864" w:themeColor="accent1" w:themeShade="80"/>
        </w:rPr>
      </w:pPr>
    </w:p>
    <w:p w14:paraId="6D5AA16A" w14:textId="0A34B98F" w:rsidR="007526E5" w:rsidRPr="00306B45" w:rsidRDefault="007526E5" w:rsidP="00306B45">
      <w:pPr>
        <w:tabs>
          <w:tab w:val="left" w:pos="397"/>
          <w:tab w:val="left" w:pos="539"/>
          <w:tab w:val="left" w:pos="964"/>
        </w:tabs>
        <w:spacing w:after="240" w:line="276" w:lineRule="auto"/>
        <w:outlineLvl w:val="1"/>
        <w:rPr>
          <w:rFonts w:ascii="Arial" w:hAnsi="Arial" w:cs="Arial"/>
          <w:b/>
          <w:bCs/>
          <w:color w:val="1F3864" w:themeColor="accent1" w:themeShade="80"/>
        </w:rPr>
      </w:pPr>
      <w:r w:rsidRPr="00306B45">
        <w:rPr>
          <w:rFonts w:ascii="Arial" w:hAnsi="Arial" w:cs="Arial"/>
          <w:b/>
          <w:bCs/>
          <w:color w:val="1F3864" w:themeColor="accent1" w:themeShade="80"/>
        </w:rPr>
        <w:t>6.2 Mesure de soutien de l’inclusion</w:t>
      </w:r>
    </w:p>
    <w:p w14:paraId="48EF4389" w14:textId="77777777" w:rsidR="007526E5" w:rsidRPr="00306B45" w:rsidRDefault="007526E5" w:rsidP="00306B45">
      <w:pPr>
        <w:tabs>
          <w:tab w:val="left" w:pos="397"/>
          <w:tab w:val="left" w:pos="539"/>
          <w:tab w:val="left" w:pos="964"/>
        </w:tabs>
        <w:spacing w:after="120" w:line="276" w:lineRule="auto"/>
        <w:outlineLvl w:val="1"/>
        <w:rPr>
          <w:rFonts w:ascii="Arial" w:hAnsi="Arial" w:cs="Arial"/>
          <w:color w:val="1F3864" w:themeColor="accent1" w:themeShade="80"/>
        </w:rPr>
      </w:pPr>
      <w:r w:rsidRPr="00306B45">
        <w:rPr>
          <w:rFonts w:ascii="Arial" w:hAnsi="Arial" w:cs="Arial"/>
          <w:color w:val="1F3864" w:themeColor="accent1" w:themeShade="80"/>
        </w:rPr>
        <w:t>Le MEDPE, de même que les districts scolaires, doivent établir et maintenir des mesures systémiques et continues de soutien de l’inclusion pour en faire une réalité au sein du système d’éducation publique. Ces mesures incluent les ressources humaines, ainsi que les politiques, le financement et des stratégies de renforcement des capacités.</w:t>
      </w:r>
    </w:p>
    <w:p w14:paraId="52D169C1" w14:textId="23A8A20B"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Pour atteindre cet objectif, les mesures devant être appliquées par le personnel scolaire sont définies comme suit.</w:t>
      </w:r>
    </w:p>
    <w:p w14:paraId="2413A9BF" w14:textId="285EBAAB" w:rsidR="007526E5" w:rsidRPr="00306B45" w:rsidRDefault="007526E5" w:rsidP="00306B45">
      <w:pPr>
        <w:tabs>
          <w:tab w:val="left" w:pos="397"/>
          <w:tab w:val="left" w:pos="539"/>
          <w:tab w:val="left" w:pos="964"/>
        </w:tabs>
        <w:spacing w:after="120" w:line="276" w:lineRule="auto"/>
        <w:outlineLvl w:val="1"/>
        <w:rPr>
          <w:rFonts w:ascii="Arial" w:hAnsi="Arial" w:cs="Arial"/>
          <w:color w:val="1F3864" w:themeColor="accent1" w:themeShade="80"/>
        </w:rPr>
      </w:pPr>
      <w:r w:rsidRPr="00306B45">
        <w:rPr>
          <w:rFonts w:ascii="Arial" w:hAnsi="Arial" w:cs="Arial"/>
          <w:color w:val="1F3864" w:themeColor="accent1" w:themeShade="80"/>
        </w:rPr>
        <w:t>6.2.1 En tant que leader en matière d’inclusion, les directions d’école doivent :</w:t>
      </w:r>
    </w:p>
    <w:p w14:paraId="0C7149DA" w14:textId="187551A8" w:rsidR="007526E5" w:rsidRPr="00306B45" w:rsidRDefault="007526E5" w:rsidP="00306B45">
      <w:pPr>
        <w:tabs>
          <w:tab w:val="left" w:pos="397"/>
          <w:tab w:val="left" w:pos="539"/>
          <w:tab w:val="left" w:pos="964"/>
        </w:tabs>
        <w:spacing w:after="120" w:line="276" w:lineRule="auto"/>
        <w:outlineLvl w:val="4"/>
        <w:rPr>
          <w:rFonts w:ascii="Arial" w:hAnsi="Arial" w:cs="Arial"/>
          <w:color w:val="1F3864" w:themeColor="accent1" w:themeShade="80"/>
        </w:rPr>
      </w:pPr>
      <w:r w:rsidRPr="00306B45">
        <w:rPr>
          <w:rFonts w:ascii="Arial" w:hAnsi="Arial" w:cs="Arial"/>
          <w:color w:val="1F3864" w:themeColor="accent1" w:themeShade="80"/>
        </w:rPr>
        <w:t>1) Assigner les ressources disponibles pour optimiser le soutien offert à l’enseignant de salle de classe et ainsi favoriser l’apprentissage de tous les élèves. Cette mesure implique l’organisation d’activités de perfectionnement professionnel et l’apport d’un soutien des membres de l’équipe stratégique et de membres du personnel désignés en fonctions de besoins particuliers.</w:t>
      </w:r>
    </w:p>
    <w:p w14:paraId="183BAED4" w14:textId="0B4A4F4F" w:rsidR="007526E5" w:rsidRPr="00306B45" w:rsidRDefault="007526E5" w:rsidP="00306B45">
      <w:pPr>
        <w:tabs>
          <w:tab w:val="left" w:pos="397"/>
          <w:tab w:val="left" w:pos="539"/>
          <w:tab w:val="left" w:pos="964"/>
        </w:tabs>
        <w:spacing w:after="120" w:line="276" w:lineRule="auto"/>
        <w:outlineLvl w:val="1"/>
        <w:rPr>
          <w:rFonts w:ascii="Arial" w:hAnsi="Arial" w:cs="Arial"/>
          <w:color w:val="1F3864" w:themeColor="accent1" w:themeShade="80"/>
        </w:rPr>
      </w:pPr>
      <w:r w:rsidRPr="00306B45">
        <w:rPr>
          <w:rFonts w:ascii="Arial" w:hAnsi="Arial" w:cs="Arial"/>
          <w:color w:val="1F3864" w:themeColor="accent1" w:themeShade="80"/>
        </w:rPr>
        <w:t>2) Veiller à ce que les interventions scolaires et comportementales réalisées à l’école soient basées sur des résultats probants d’analyse de données et sur des pratiques éprouvées. Ces interventions doivent être utilisées systématiquement pour répondre aux divers besoins des élèves.</w:t>
      </w:r>
    </w:p>
    <w:p w14:paraId="7D2C60A6" w14:textId="451AC61E" w:rsidR="007526E5" w:rsidRPr="00306B45" w:rsidRDefault="007526E5" w:rsidP="00306B45">
      <w:pPr>
        <w:tabs>
          <w:tab w:val="left" w:pos="397"/>
          <w:tab w:val="left" w:pos="539"/>
          <w:tab w:val="left" w:pos="964"/>
        </w:tabs>
        <w:spacing w:before="120" w:after="120" w:line="276" w:lineRule="auto"/>
        <w:outlineLvl w:val="1"/>
        <w:rPr>
          <w:rFonts w:ascii="Arial" w:hAnsi="Arial" w:cs="Arial"/>
          <w:color w:val="1F3864" w:themeColor="accent1" w:themeShade="80"/>
        </w:rPr>
      </w:pPr>
      <w:r w:rsidRPr="00306B45">
        <w:rPr>
          <w:rFonts w:ascii="Arial" w:hAnsi="Arial" w:cs="Arial"/>
          <w:color w:val="1F3864" w:themeColor="accent1" w:themeShade="80"/>
        </w:rPr>
        <w:t>3) Veiller à ce que l’enseignement soit offert principalement par les enseignants de salle de classe ou de matières spécifiques.</w:t>
      </w:r>
    </w:p>
    <w:p w14:paraId="400861ED" w14:textId="4703558C" w:rsidR="007526E5" w:rsidRPr="00306B45" w:rsidRDefault="00EA64E1" w:rsidP="00306B45">
      <w:pPr>
        <w:tabs>
          <w:tab w:val="left" w:pos="397"/>
          <w:tab w:val="left" w:pos="539"/>
          <w:tab w:val="left" w:pos="964"/>
        </w:tabs>
        <w:spacing w:after="120" w:line="276" w:lineRule="auto"/>
        <w:outlineLvl w:val="1"/>
        <w:rPr>
          <w:rFonts w:ascii="Arial" w:hAnsi="Arial" w:cs="Arial"/>
          <w:color w:val="1F3864" w:themeColor="accent1" w:themeShade="80"/>
        </w:rPr>
      </w:pPr>
      <w:r w:rsidRPr="00306B45">
        <w:rPr>
          <w:rFonts w:ascii="Arial" w:hAnsi="Arial" w:cs="Arial"/>
          <w:color w:val="1F3864" w:themeColor="accent1" w:themeShade="80"/>
        </w:rPr>
        <w:t>4</w:t>
      </w:r>
      <w:r w:rsidR="007526E5" w:rsidRPr="00306B45">
        <w:rPr>
          <w:rFonts w:ascii="Arial" w:hAnsi="Arial" w:cs="Arial"/>
          <w:color w:val="1F3864" w:themeColor="accent1" w:themeShade="80"/>
        </w:rPr>
        <w:t>) Aider les professionnels et paraprofessionnels à utiliser des stratégies d’enseignement souples, entre autres la conception universelle de l’apprentissage, la différenciation et des stratégies à plusieurs niveaux pour favoriser l'apprentissage des élèves.</w:t>
      </w:r>
    </w:p>
    <w:p w14:paraId="7C4C372E" w14:textId="53A8327B" w:rsidR="007526E5" w:rsidRPr="00306B45" w:rsidRDefault="007526E5" w:rsidP="00306B45">
      <w:pPr>
        <w:tabs>
          <w:tab w:val="left" w:pos="397"/>
          <w:tab w:val="left" w:pos="539"/>
          <w:tab w:val="left" w:pos="964"/>
        </w:tabs>
        <w:spacing w:after="120" w:line="276" w:lineRule="auto"/>
        <w:outlineLvl w:val="1"/>
        <w:rPr>
          <w:rFonts w:ascii="Arial" w:hAnsi="Arial" w:cs="Arial"/>
          <w:b/>
          <w:bCs/>
          <w:color w:val="1F3864" w:themeColor="accent1" w:themeShade="80"/>
        </w:rPr>
      </w:pPr>
      <w:r w:rsidRPr="00306B45">
        <w:rPr>
          <w:rFonts w:ascii="Arial" w:hAnsi="Arial" w:cs="Arial"/>
          <w:b/>
          <w:bCs/>
          <w:color w:val="1F3864" w:themeColor="accent1" w:themeShade="80"/>
        </w:rPr>
        <w:t>6.3 Plan d’intervention</w:t>
      </w:r>
    </w:p>
    <w:p w14:paraId="47E82608" w14:textId="25230F4B"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6.3.1 Les élèves reçoivent un plan d’intervention quand une ou plusieurs des conditions suivantes s’appliquent :</w:t>
      </w:r>
    </w:p>
    <w:p w14:paraId="38F23C77" w14:textId="2D5874FB"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1) Des stratégies d’enseignement applicables sont requises au-delà d’un programme d’enseignement rigoureux.</w:t>
      </w:r>
    </w:p>
    <w:p w14:paraId="712BA573" w14:textId="34CC9F38"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lastRenderedPageBreak/>
        <w:t>2) Un soutien comportemental est requis, tel que défini au paragraphe 6.6 de la</w:t>
      </w:r>
      <w:r w:rsidR="00E227B8" w:rsidRPr="00306B45">
        <w:rPr>
          <w:rFonts w:ascii="Arial" w:hAnsi="Arial" w:cs="Arial"/>
          <w:color w:val="1F3864" w:themeColor="accent1" w:themeShade="80"/>
        </w:rPr>
        <w:t xml:space="preserve"> </w:t>
      </w:r>
      <w:r w:rsidRPr="00306B45">
        <w:rPr>
          <w:rFonts w:ascii="Arial" w:hAnsi="Arial" w:cs="Arial"/>
          <w:color w:val="1F3864" w:themeColor="accent1" w:themeShade="80"/>
        </w:rPr>
        <w:t>Politique 703</w:t>
      </w:r>
      <w:r w:rsidR="00A51DB6" w:rsidRPr="00306B45">
        <w:rPr>
          <w:rFonts w:ascii="Arial" w:hAnsi="Arial" w:cs="Arial"/>
          <w:color w:val="1F3864" w:themeColor="accent1" w:themeShade="80"/>
        </w:rPr>
        <w:t xml:space="preserve">, </w:t>
      </w:r>
      <w:r w:rsidRPr="00306B45">
        <w:rPr>
          <w:rFonts w:ascii="Arial" w:hAnsi="Arial" w:cs="Arial"/>
          <w:color w:val="1F3864" w:themeColor="accent1" w:themeShade="80"/>
        </w:rPr>
        <w:t>Milieu propice à l’apprentissage et au travail.</w:t>
      </w:r>
    </w:p>
    <w:p w14:paraId="3277100F" w14:textId="77777777"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3) Une variation du milieu d’apprentissage commun est requise, conformément au paragraphe 6.4 de la présente politique.</w:t>
      </w:r>
    </w:p>
    <w:p w14:paraId="428D36B4" w14:textId="57D245F2" w:rsidR="007526E5" w:rsidRPr="00306B45" w:rsidRDefault="007526E5" w:rsidP="00306B45">
      <w:pPr>
        <w:tabs>
          <w:tab w:val="left" w:pos="397"/>
          <w:tab w:val="left" w:pos="539"/>
          <w:tab w:val="left" w:pos="964"/>
        </w:tabs>
        <w:spacing w:after="240" w:line="276" w:lineRule="auto"/>
        <w:outlineLvl w:val="1"/>
        <w:rPr>
          <w:rFonts w:ascii="Arial" w:hAnsi="Arial" w:cs="Arial"/>
          <w:b/>
          <w:bCs/>
          <w:color w:val="1F3864" w:themeColor="accent1" w:themeShade="80"/>
        </w:rPr>
      </w:pPr>
      <w:r w:rsidRPr="00306B45">
        <w:rPr>
          <w:rFonts w:ascii="Arial" w:hAnsi="Arial" w:cs="Arial"/>
          <w:b/>
          <w:bCs/>
          <w:color w:val="1F3864" w:themeColor="accent1" w:themeShade="80"/>
        </w:rPr>
        <w:t>6.3.2 Les directions d’école doivent assurer l’application des mesures suivantes :</w:t>
      </w:r>
    </w:p>
    <w:p w14:paraId="2D4C39BA" w14:textId="620DBBDF"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1) Élaboration d’un plan d’intervention par une équipe de planification incluant des membres de la direction d’école, les enseignants, les membres pertinents de l’équipe stratégique, de même que les parents, l’élève et les assistants en éducation, le cas échéant, ainsi qu’avec l’appui des organismes communautaires au besoin.</w:t>
      </w:r>
    </w:p>
    <w:p w14:paraId="6245C413" w14:textId="70DCAE1F"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2) Élaboration d’un plan d’intervention selon les forces, les préférences en matière de style d’apprentissage et les besoins de l’élève, ainsi que les exigences des programmes d’études. Le plan doit contenir des objectifs personnalisés compatibles avec les exigences du programme d’études ainsi que des stratégies d’enseignement et des méthodes d’évaluation clairement définies.</w:t>
      </w:r>
    </w:p>
    <w:p w14:paraId="2BEECB3F" w14:textId="2C39084B" w:rsidR="007526E5" w:rsidRPr="00306B45" w:rsidRDefault="007526E5" w:rsidP="00306B45">
      <w:pPr>
        <w:tabs>
          <w:tab w:val="left" w:pos="397"/>
          <w:tab w:val="left" w:pos="539"/>
          <w:tab w:val="left" w:pos="964"/>
        </w:tabs>
        <w:spacing w:after="120" w:line="276" w:lineRule="auto"/>
        <w:outlineLvl w:val="1"/>
        <w:rPr>
          <w:rFonts w:ascii="Arial" w:hAnsi="Arial" w:cs="Arial"/>
          <w:color w:val="1F3864" w:themeColor="accent1" w:themeShade="80"/>
        </w:rPr>
      </w:pPr>
      <w:r w:rsidRPr="00306B45">
        <w:rPr>
          <w:rFonts w:ascii="Arial" w:hAnsi="Arial" w:cs="Arial"/>
          <w:color w:val="1F3864" w:themeColor="accent1" w:themeShade="80"/>
        </w:rPr>
        <w:t>3) Application d’un plan d’intervention pendant toutes les heures d’enseignement régulières en fonction du niveau scolaire de l’élève. Toute exception concernant les heures d’enseignement, incluant les modalités de transport scolaire ayant un impact sur les heures d’enseignement régulières, doit être indiquée et justifiée dans le plan d’intervention.</w:t>
      </w:r>
    </w:p>
    <w:p w14:paraId="7F8BC265" w14:textId="001EFB35"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4) Offre d’accès aux soutiens technologiques, au besoin, pour éliminer un obstacle à l’apprentissage, conformément à l’évaluation et aux recommandations de l’équipe stratégique et selon l’obligation de fournir des mesures d’adaptation en vertu des Droits de la personne.</w:t>
      </w:r>
    </w:p>
    <w:p w14:paraId="32E7602D" w14:textId="1EC0522A"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5) Au secondaire, particulièrement au cours des deux années précédant l’achèvement prévu des études de l’élève, le plan d’intervention doit contenir des stratégies de transition élaborées en collaboration avec l’élève, ses parents et tout représentant des organismes communautaires qui jouera un rôle dans le cheminement de l’élève après le secondaire.</w:t>
      </w:r>
    </w:p>
    <w:p w14:paraId="4371F96E" w14:textId="0C41DF1B" w:rsidR="007526E5" w:rsidRPr="00306B45" w:rsidRDefault="007526E5" w:rsidP="00306B45">
      <w:pPr>
        <w:tabs>
          <w:tab w:val="left" w:pos="397"/>
          <w:tab w:val="left" w:pos="539"/>
          <w:tab w:val="left" w:pos="964"/>
        </w:tabs>
        <w:spacing w:after="240" w:line="276" w:lineRule="auto"/>
        <w:outlineLvl w:val="1"/>
        <w:rPr>
          <w:rFonts w:ascii="Arial" w:hAnsi="Arial" w:cs="Arial"/>
          <w:b/>
          <w:bCs/>
          <w:color w:val="1F3864" w:themeColor="accent1" w:themeShade="80"/>
        </w:rPr>
      </w:pPr>
      <w:r w:rsidRPr="00306B45">
        <w:rPr>
          <w:rFonts w:ascii="Arial" w:hAnsi="Arial" w:cs="Arial"/>
          <w:b/>
          <w:bCs/>
          <w:color w:val="1F3864" w:themeColor="accent1" w:themeShade="80"/>
        </w:rPr>
        <w:t>6.3.3 Les enseignants de salle de classe doivent :</w:t>
      </w:r>
    </w:p>
    <w:p w14:paraId="2D6D070C" w14:textId="519188DF" w:rsidR="007526E5" w:rsidRPr="00306B45" w:rsidRDefault="003E7741"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1)</w:t>
      </w:r>
      <w:r w:rsidR="007526E5" w:rsidRPr="00306B45">
        <w:rPr>
          <w:rFonts w:ascii="Arial" w:hAnsi="Arial" w:cs="Arial"/>
          <w:color w:val="1F3864" w:themeColor="accent1" w:themeShade="80"/>
        </w:rPr>
        <w:t xml:space="preserve"> Élaborer le plan d’intervention </w:t>
      </w:r>
      <w:proofErr w:type="gramStart"/>
      <w:r w:rsidR="007526E5" w:rsidRPr="00306B45">
        <w:rPr>
          <w:rFonts w:ascii="Arial" w:hAnsi="Arial" w:cs="Arial"/>
          <w:color w:val="1F3864" w:themeColor="accent1" w:themeShade="80"/>
        </w:rPr>
        <w:t>de façon à ce</w:t>
      </w:r>
      <w:proofErr w:type="gramEnd"/>
      <w:r w:rsidR="007526E5" w:rsidRPr="00306B45">
        <w:rPr>
          <w:rFonts w:ascii="Arial" w:hAnsi="Arial" w:cs="Arial"/>
          <w:color w:val="1F3864" w:themeColor="accent1" w:themeShade="80"/>
        </w:rPr>
        <w:t xml:space="preserve"> qu’il soit le plus possible axé sur le programme d’études, et ce, après avoir pris en compte les besoins de l’élève.</w:t>
      </w:r>
    </w:p>
    <w:p w14:paraId="79F92F6D" w14:textId="6E79B05B"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 xml:space="preserve">2) Élaborer, mettre en </w:t>
      </w:r>
      <w:r w:rsidR="003E7741" w:rsidRPr="00306B45">
        <w:rPr>
          <w:rFonts w:ascii="Arial" w:hAnsi="Arial" w:cs="Arial"/>
          <w:color w:val="1F3864" w:themeColor="accent1" w:themeShade="80"/>
        </w:rPr>
        <w:t>œuvre</w:t>
      </w:r>
      <w:r w:rsidRPr="00306B45">
        <w:rPr>
          <w:rFonts w:ascii="Arial" w:hAnsi="Arial" w:cs="Arial"/>
          <w:color w:val="1F3864" w:themeColor="accent1" w:themeShade="80"/>
        </w:rPr>
        <w:t xml:space="preserve"> et modifier le plan d’intervention (si des modifications importantes sont requises), en collaborant avec les parents, l’élève, les enseignants, l’équipe de Services de soutien à l’apprentissage, y compris tout assistant en éducation concerné, et avec tout professionnel ou représentant d’organismes communautaires pertinent, au besoin.</w:t>
      </w:r>
    </w:p>
    <w:p w14:paraId="1B37E454" w14:textId="0A27A7C3"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3) Recevoir, examiner et mettre à jour le plan d’intervention lorsqu’un élève change de niveau ou d’école, en consultation avec celui-ci, ses parents, les membres de l’équipe stratégique ainsi que d’autres professionnels au besoin.</w:t>
      </w:r>
    </w:p>
    <w:p w14:paraId="73A1FD1B" w14:textId="6C74AC2C"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lastRenderedPageBreak/>
        <w:t>4) Intégrer les exigences du plan d’intervention dans les plans de leçon et dans les stratégies d’enseignement.</w:t>
      </w:r>
    </w:p>
    <w:p w14:paraId="1A16C742" w14:textId="4848E26A" w:rsidR="007526E5"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5) Surveiller et évaluer de façon continue l’efficacité des stratégies d’enseignement décrites dans le plan d’intervention ainsi que la pertinence des objectifs à atteindre et des résultats escomptés.</w:t>
      </w:r>
    </w:p>
    <w:p w14:paraId="466BC673" w14:textId="6AB864FF" w:rsidR="001A39C1" w:rsidRPr="00306B45" w:rsidRDefault="007526E5" w:rsidP="00306B45">
      <w:pPr>
        <w:tabs>
          <w:tab w:val="left" w:pos="397"/>
          <w:tab w:val="left" w:pos="539"/>
          <w:tab w:val="left" w:pos="964"/>
        </w:tabs>
        <w:spacing w:after="240" w:line="276" w:lineRule="auto"/>
        <w:outlineLvl w:val="1"/>
        <w:rPr>
          <w:rFonts w:ascii="Arial" w:hAnsi="Arial" w:cs="Arial"/>
          <w:color w:val="1F3864" w:themeColor="accent1" w:themeShade="80"/>
        </w:rPr>
      </w:pPr>
      <w:r w:rsidRPr="00306B45">
        <w:rPr>
          <w:rFonts w:ascii="Arial" w:hAnsi="Arial" w:cs="Arial"/>
          <w:color w:val="1F3864" w:themeColor="accent1" w:themeShade="80"/>
        </w:rPr>
        <w:t>6) Produire, sur le même document (fiche de rendement), des rapports d’étape pour les élèves qui suivent un plan d’intervention, et ce, au même moment que pour tous les autres élèves. De plus, fournir aux parents ou aux élèves autonomes un rapport sur les progrès réalisés dans le cadre du plan d’intervention.</w:t>
      </w:r>
      <w:bookmarkStart w:id="1" w:name="_Hlk116724959"/>
    </w:p>
    <w:p w14:paraId="1AB8403C" w14:textId="113C0255" w:rsidR="00406DB1" w:rsidRPr="00306B45" w:rsidRDefault="007D07FB" w:rsidP="00306B45">
      <w:pPr>
        <w:tabs>
          <w:tab w:val="left" w:pos="397"/>
          <w:tab w:val="left" w:pos="539"/>
          <w:tab w:val="left" w:pos="964"/>
        </w:tabs>
        <w:spacing w:after="120" w:line="276" w:lineRule="auto"/>
        <w:outlineLvl w:val="1"/>
        <w:rPr>
          <w:rFonts w:ascii="Arial" w:eastAsia="Calibri" w:hAnsi="Arial" w:cs="Arial"/>
          <w:color w:val="1F3864" w:themeColor="accent1" w:themeShade="80"/>
          <w:lang w:val="fr-FR" w:eastAsia="en-US"/>
        </w:rPr>
      </w:pPr>
      <w:r w:rsidRPr="00306B45">
        <w:rPr>
          <w:rFonts w:ascii="Arial" w:eastAsia="Calibri" w:hAnsi="Arial" w:cs="Arial"/>
          <w:color w:val="1F3864" w:themeColor="accent1" w:themeShade="80"/>
          <w:lang w:val="fr-FR" w:eastAsia="en-US"/>
        </w:rPr>
        <w:t>2022-</w:t>
      </w:r>
      <w:r w:rsidR="005A0568" w:rsidRPr="00306B45">
        <w:rPr>
          <w:rFonts w:ascii="Arial" w:eastAsia="Calibri" w:hAnsi="Arial" w:cs="Arial"/>
          <w:color w:val="1F3864" w:themeColor="accent1" w:themeShade="80"/>
          <w:lang w:val="fr-FR" w:eastAsia="en-US"/>
        </w:rPr>
        <w:t>10-1</w:t>
      </w:r>
      <w:r w:rsidR="00BE3207" w:rsidRPr="00306B45">
        <w:rPr>
          <w:rFonts w:ascii="Arial" w:eastAsia="Calibri" w:hAnsi="Arial" w:cs="Arial"/>
          <w:color w:val="1F3864" w:themeColor="accent1" w:themeShade="80"/>
          <w:lang w:val="fr-FR" w:eastAsia="en-US"/>
        </w:rPr>
        <w:t>5</w:t>
      </w:r>
    </w:p>
    <w:p w14:paraId="7A332DC1" w14:textId="7ADBAF55" w:rsidR="005E17D6" w:rsidRPr="00306B45" w:rsidRDefault="00423A55" w:rsidP="00306B45">
      <w:pPr>
        <w:tabs>
          <w:tab w:val="left" w:pos="397"/>
          <w:tab w:val="left" w:pos="539"/>
          <w:tab w:val="left" w:pos="964"/>
        </w:tabs>
        <w:spacing w:after="120" w:line="276" w:lineRule="auto"/>
        <w:outlineLvl w:val="1"/>
        <w:rPr>
          <w:rFonts w:ascii="Arial" w:eastAsia="Calibri" w:hAnsi="Arial" w:cs="Arial"/>
          <w:color w:val="1F3864" w:themeColor="accent1" w:themeShade="80"/>
          <w:lang w:val="fr-FR" w:eastAsia="en-US"/>
        </w:rPr>
      </w:pPr>
      <w:r w:rsidRPr="00306B45">
        <w:rPr>
          <w:rFonts w:ascii="Arial" w:eastAsia="Calibri" w:hAnsi="Arial" w:cs="Arial"/>
          <w:color w:val="1F3864" w:themeColor="accent1" w:themeShade="80"/>
          <w:lang w:val="fr-FR" w:eastAsia="en-US"/>
        </w:rPr>
        <w:t>Références</w:t>
      </w:r>
    </w:p>
    <w:p w14:paraId="0297EF42" w14:textId="33EB5AA3" w:rsidR="00423A55" w:rsidRPr="00306B45" w:rsidRDefault="00423A55" w:rsidP="00306B45">
      <w:pPr>
        <w:autoSpaceDE w:val="0"/>
        <w:autoSpaceDN w:val="0"/>
        <w:adjustRightInd w:val="0"/>
        <w:spacing w:line="276" w:lineRule="auto"/>
        <w:rPr>
          <w:rFonts w:ascii="Arial" w:hAnsi="Arial" w:cs="Arial"/>
          <w:color w:val="1F3864" w:themeColor="accent1" w:themeShade="80"/>
        </w:rPr>
      </w:pPr>
      <w:r w:rsidRPr="00306B45">
        <w:rPr>
          <w:rFonts w:ascii="Arial" w:hAnsi="Arial" w:cs="Arial"/>
          <w:color w:val="1F3864" w:themeColor="accent1" w:themeShade="80"/>
        </w:rPr>
        <w:t>Politique d’accès et d’inclusion, Version française de la publication parue originalement en anglais</w:t>
      </w:r>
      <w:r w:rsidR="008E3105" w:rsidRPr="00306B45">
        <w:rPr>
          <w:rFonts w:ascii="Arial" w:hAnsi="Arial" w:cs="Arial"/>
          <w:color w:val="1F3864" w:themeColor="accent1" w:themeShade="80"/>
        </w:rPr>
        <w:t xml:space="preserve"> </w:t>
      </w:r>
      <w:r w:rsidRPr="00306B45">
        <w:rPr>
          <w:rFonts w:ascii="Arial" w:hAnsi="Arial" w:cs="Arial"/>
          <w:color w:val="1F3864" w:themeColor="accent1" w:themeShade="80"/>
        </w:rPr>
        <w:t xml:space="preserve">en novembre 2018 sous le titre </w:t>
      </w:r>
      <w:r w:rsidRPr="00306B45">
        <w:rPr>
          <w:rFonts w:ascii="Arial" w:hAnsi="Arial" w:cs="Arial"/>
          <w:i/>
          <w:iCs/>
          <w:color w:val="1F3864" w:themeColor="accent1" w:themeShade="80"/>
        </w:rPr>
        <w:t xml:space="preserve">Access and inclusion </w:t>
      </w:r>
      <w:proofErr w:type="spellStart"/>
      <w:r w:rsidRPr="00306B45">
        <w:rPr>
          <w:rFonts w:ascii="Arial" w:hAnsi="Arial" w:cs="Arial"/>
          <w:i/>
          <w:iCs/>
          <w:color w:val="1F3864" w:themeColor="accent1" w:themeShade="80"/>
        </w:rPr>
        <w:t>policy</w:t>
      </w:r>
      <w:proofErr w:type="spellEnd"/>
      <w:r w:rsidRPr="00306B45">
        <w:rPr>
          <w:rFonts w:ascii="Arial" w:hAnsi="Arial" w:cs="Arial"/>
          <w:i/>
          <w:iCs/>
          <w:color w:val="1F3864" w:themeColor="accent1" w:themeShade="80"/>
        </w:rPr>
        <w:t xml:space="preserve">, </w:t>
      </w:r>
      <w:r w:rsidR="00980CD7" w:rsidRPr="00306B45">
        <w:rPr>
          <w:rFonts w:ascii="Arial" w:hAnsi="Arial" w:cs="Arial"/>
          <w:i/>
          <w:iCs/>
          <w:color w:val="1F3864" w:themeColor="accent1" w:themeShade="80"/>
        </w:rPr>
        <w:t>s</w:t>
      </w:r>
      <w:r w:rsidR="004B3D91" w:rsidRPr="00306B45">
        <w:rPr>
          <w:rFonts w:ascii="Arial" w:hAnsi="Arial" w:cs="Arial"/>
          <w:color w:val="1F3864" w:themeColor="accent1" w:themeShade="80"/>
        </w:rPr>
        <w:t xml:space="preserve">ite </w:t>
      </w:r>
      <w:r w:rsidR="00980CD7" w:rsidRPr="00306B45">
        <w:rPr>
          <w:rFonts w:ascii="Arial" w:hAnsi="Arial" w:cs="Arial"/>
          <w:color w:val="1F3864" w:themeColor="accent1" w:themeShade="80"/>
        </w:rPr>
        <w:t>w</w:t>
      </w:r>
      <w:r w:rsidR="004B3D91" w:rsidRPr="00306B45">
        <w:rPr>
          <w:rFonts w:ascii="Arial" w:hAnsi="Arial" w:cs="Arial"/>
          <w:color w:val="1F3864" w:themeColor="accent1" w:themeShade="80"/>
        </w:rPr>
        <w:t>eb</w:t>
      </w:r>
      <w:r w:rsidR="00BC4D61" w:rsidRPr="00306B45">
        <w:rPr>
          <w:rFonts w:ascii="Arial" w:hAnsi="Arial" w:cs="Arial"/>
          <w:color w:val="1F3864" w:themeColor="accent1" w:themeShade="80"/>
        </w:rPr>
        <w:t> </w:t>
      </w:r>
      <w:r w:rsidR="004B3D91" w:rsidRPr="00306B45">
        <w:rPr>
          <w:rFonts w:ascii="Arial" w:hAnsi="Arial" w:cs="Arial"/>
          <w:color w:val="1F3864" w:themeColor="accent1" w:themeShade="80"/>
        </w:rPr>
        <w:t xml:space="preserve">: </w:t>
      </w:r>
      <w:hyperlink r:id="rId13" w:history="1">
        <w:r w:rsidR="008E3105" w:rsidRPr="00306B45">
          <w:rPr>
            <w:rStyle w:val="Lienhypertexte"/>
            <w:rFonts w:ascii="Arial" w:hAnsi="Arial" w:cs="Arial"/>
            <w:color w:val="1F3864" w:themeColor="accent1" w:themeShade="80"/>
          </w:rPr>
          <w:t>https://ibo.org/fr/</w:t>
        </w:r>
      </w:hyperlink>
    </w:p>
    <w:p w14:paraId="2C64E823" w14:textId="51B98BEC" w:rsidR="008E3105" w:rsidRPr="00306B45" w:rsidRDefault="008E3105" w:rsidP="00306B45">
      <w:pPr>
        <w:autoSpaceDE w:val="0"/>
        <w:autoSpaceDN w:val="0"/>
        <w:adjustRightInd w:val="0"/>
        <w:spacing w:line="276" w:lineRule="auto"/>
        <w:rPr>
          <w:rFonts w:ascii="Arial" w:hAnsi="Arial" w:cs="Arial"/>
          <w:color w:val="1F3864" w:themeColor="accent1" w:themeShade="80"/>
        </w:rPr>
      </w:pPr>
    </w:p>
    <w:p w14:paraId="5639C1F6" w14:textId="27E727B9" w:rsidR="008E3105" w:rsidRPr="00306B45" w:rsidRDefault="00183D30" w:rsidP="00306B45">
      <w:pPr>
        <w:autoSpaceDE w:val="0"/>
        <w:autoSpaceDN w:val="0"/>
        <w:adjustRightInd w:val="0"/>
        <w:spacing w:line="276" w:lineRule="auto"/>
        <w:rPr>
          <w:rFonts w:ascii="Arial" w:eastAsia="Calibri" w:hAnsi="Arial" w:cs="Arial"/>
          <w:color w:val="1F3864" w:themeColor="accent1" w:themeShade="80"/>
          <w:lang w:val="fr-FR" w:eastAsia="en-US"/>
        </w:rPr>
      </w:pPr>
      <w:r w:rsidRPr="00306B45">
        <w:rPr>
          <w:rFonts w:ascii="Arial" w:hAnsi="Arial" w:cs="Arial"/>
          <w:color w:val="1F3864" w:themeColor="accent1" w:themeShade="80"/>
        </w:rPr>
        <w:t>Ministère de l’Éducation et du Développement de la petite enfance Politique</w:t>
      </w:r>
      <w:r w:rsidR="00BC4D61" w:rsidRPr="00306B45">
        <w:rPr>
          <w:rFonts w:ascii="Arial" w:hAnsi="Arial" w:cs="Arial"/>
          <w:color w:val="1F3864" w:themeColor="accent1" w:themeShade="80"/>
        </w:rPr>
        <w:t> </w:t>
      </w:r>
      <w:r w:rsidRPr="00306B45">
        <w:rPr>
          <w:rFonts w:ascii="Arial" w:hAnsi="Arial" w:cs="Arial"/>
          <w:color w:val="1F3864" w:themeColor="accent1" w:themeShade="80"/>
        </w:rPr>
        <w:t xml:space="preserve">322, </w:t>
      </w:r>
      <w:r w:rsidR="00980CD7" w:rsidRPr="00306B45">
        <w:rPr>
          <w:rFonts w:ascii="Arial" w:hAnsi="Arial" w:cs="Arial"/>
          <w:color w:val="1F3864" w:themeColor="accent1" w:themeShade="80"/>
        </w:rPr>
        <w:t xml:space="preserve">site web : </w:t>
      </w:r>
      <w:hyperlink r:id="rId14" w:history="1">
        <w:r w:rsidR="00980CD7" w:rsidRPr="00306B45">
          <w:rPr>
            <w:rFonts w:ascii="Arial" w:hAnsi="Arial" w:cs="Arial"/>
            <w:color w:val="1F3864" w:themeColor="accent1" w:themeShade="80"/>
            <w:u w:val="single"/>
          </w:rPr>
          <w:t>322F.pdf (gnb.ca)</w:t>
        </w:r>
      </w:hyperlink>
      <w:bookmarkEnd w:id="1"/>
    </w:p>
    <w:sectPr w:rsidR="008E3105" w:rsidRPr="00306B45" w:rsidSect="00306B45">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C27F" w14:textId="77777777" w:rsidR="003F5A25" w:rsidRDefault="003F5A25" w:rsidP="00340385">
      <w:r>
        <w:separator/>
      </w:r>
    </w:p>
  </w:endnote>
  <w:endnote w:type="continuationSeparator" w:id="0">
    <w:p w14:paraId="77A12923" w14:textId="77777777" w:rsidR="003F5A25" w:rsidRDefault="003F5A25" w:rsidP="0034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62A7" w14:textId="77777777" w:rsidR="004D5C7C" w:rsidRDefault="004D5C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0791" w14:textId="77777777" w:rsidR="004D5C7C" w:rsidRDefault="004D5C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54A1" w14:textId="77777777" w:rsidR="004D5C7C" w:rsidRDefault="004D5C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B400" w14:textId="77777777" w:rsidR="003F5A25" w:rsidRDefault="003F5A25" w:rsidP="00340385">
      <w:r>
        <w:separator/>
      </w:r>
    </w:p>
  </w:footnote>
  <w:footnote w:type="continuationSeparator" w:id="0">
    <w:p w14:paraId="777A1C38" w14:textId="77777777" w:rsidR="003F5A25" w:rsidRDefault="003F5A25" w:rsidP="0034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A888" w14:textId="77777777" w:rsidR="004D5C7C" w:rsidRDefault="004D5C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2EC4" w14:textId="77777777" w:rsidR="004D5C7C" w:rsidRDefault="004D5C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328D" w14:textId="77777777" w:rsidR="004D5C7C" w:rsidRDefault="004D5C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24F"/>
    <w:multiLevelType w:val="hybridMultilevel"/>
    <w:tmpl w:val="B80656FA"/>
    <w:lvl w:ilvl="0" w:tplc="501E0522">
      <w:start w:val="1"/>
      <w:numFmt w:val="lowerLetter"/>
      <w:lvlText w:val="%1."/>
      <w:lvlJc w:val="left"/>
      <w:pPr>
        <w:tabs>
          <w:tab w:val="num" w:pos="907"/>
        </w:tabs>
        <w:ind w:left="907" w:hanging="453"/>
      </w:pPr>
      <w:rPr>
        <w:rFonts w:ascii="Arial" w:hAnsi="Arial" w:cs="Arial" w:hint="default"/>
        <w:b w:val="0"/>
        <w:i w:val="0"/>
        <w:sz w:val="19"/>
        <w:szCs w:val="19"/>
      </w:rPr>
    </w:lvl>
    <w:lvl w:ilvl="1" w:tplc="7C925D60">
      <w:start w:val="1"/>
      <w:numFmt w:val="lowerRoman"/>
      <w:lvlText w:val="%2."/>
      <w:lvlJc w:val="left"/>
      <w:pPr>
        <w:tabs>
          <w:tab w:val="num" w:pos="1361"/>
        </w:tabs>
        <w:ind w:left="1361" w:hanging="454"/>
      </w:pPr>
      <w:rPr>
        <w:rFonts w:ascii="Arial" w:hAnsi="Arial" w:hint="default"/>
        <w:b w:val="0"/>
        <w:i w:val="0"/>
        <w:sz w:val="19"/>
        <w:szCs w:val="19"/>
      </w:rPr>
    </w:lvl>
    <w:lvl w:ilvl="2" w:tplc="55528108">
      <w:start w:val="1"/>
      <w:numFmt w:val="lowerRoman"/>
      <w:lvlText w:val="%3."/>
      <w:lvlJc w:val="left"/>
      <w:pPr>
        <w:tabs>
          <w:tab w:val="num" w:pos="1361"/>
        </w:tabs>
        <w:ind w:left="1361" w:hanging="454"/>
      </w:pPr>
      <w:rPr>
        <w:rFonts w:ascii="Arial" w:hAnsi="Arial" w:hint="default"/>
        <w:b w:val="0"/>
        <w:i w:val="0"/>
        <w:sz w:val="19"/>
        <w:szCs w:val="19"/>
      </w:rPr>
    </w:lvl>
    <w:lvl w:ilvl="3" w:tplc="0C0C0001">
      <w:start w:val="1"/>
      <w:numFmt w:val="bullet"/>
      <w:lvlText w:val=""/>
      <w:lvlJc w:val="left"/>
      <w:pPr>
        <w:tabs>
          <w:tab w:val="num" w:pos="907"/>
        </w:tabs>
        <w:ind w:left="907" w:hanging="453"/>
      </w:pPr>
      <w:rPr>
        <w:rFonts w:ascii="Symbol" w:hAnsi="Symbol" w:hint="default"/>
        <w:b w:val="0"/>
        <w:i w:val="0"/>
        <w:sz w:val="19"/>
        <w:szCs w:val="19"/>
      </w:rPr>
    </w:lvl>
    <w:lvl w:ilvl="4" w:tplc="FE047C96">
      <w:start w:val="1"/>
      <w:numFmt w:val="bullet"/>
      <w:lvlText w:val=""/>
      <w:lvlJc w:val="left"/>
      <w:pPr>
        <w:ind w:left="3600" w:hanging="360"/>
      </w:pPr>
      <w:rPr>
        <w:rFonts w:ascii="Wingdings" w:eastAsia="Calibri" w:hAnsi="Wingdings" w:cs="Arial" w:hint="default"/>
      </w:rPr>
    </w:lvl>
    <w:lvl w:ilvl="5" w:tplc="0C0C0001">
      <w:start w:val="1"/>
      <w:numFmt w:val="bullet"/>
      <w:lvlText w:val=""/>
      <w:lvlJc w:val="left"/>
      <w:pPr>
        <w:ind w:left="450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E15B3D"/>
    <w:multiLevelType w:val="hybridMultilevel"/>
    <w:tmpl w:val="AE160B10"/>
    <w:lvl w:ilvl="0" w:tplc="0C0C0001">
      <w:start w:val="1"/>
      <w:numFmt w:val="bullet"/>
      <w:lvlText w:val=""/>
      <w:lvlJc w:val="left"/>
      <w:pPr>
        <w:ind w:left="927" w:hanging="360"/>
      </w:pPr>
      <w:rPr>
        <w:rFonts w:ascii="Symbol" w:hAnsi="Symbol" w:hint="default"/>
      </w:rPr>
    </w:lvl>
    <w:lvl w:ilvl="1" w:tplc="F796D502">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FB3397"/>
    <w:multiLevelType w:val="hybridMultilevel"/>
    <w:tmpl w:val="F43EAFE2"/>
    <w:lvl w:ilvl="0" w:tplc="FFFFFFFF">
      <w:start w:val="1"/>
      <w:numFmt w:val="bullet"/>
      <w:lvlText w:val=""/>
      <w:lvlJc w:val="center"/>
      <w:pPr>
        <w:ind w:left="720" w:hanging="360"/>
      </w:pPr>
      <w:rPr>
        <w:rFonts w:ascii="Symbol" w:hAnsi="Symbol" w:hint="default"/>
      </w:rPr>
    </w:lvl>
    <w:lvl w:ilvl="1" w:tplc="0C0C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DA1EBC"/>
    <w:multiLevelType w:val="hybridMultilevel"/>
    <w:tmpl w:val="ACCA6F9A"/>
    <w:lvl w:ilvl="0" w:tplc="0C0C0001">
      <w:start w:val="1"/>
      <w:numFmt w:val="bullet"/>
      <w:lvlText w:val=""/>
      <w:lvlJc w:val="left"/>
      <w:pPr>
        <w:ind w:left="1079" w:hanging="360"/>
      </w:pPr>
      <w:rPr>
        <w:rFonts w:ascii="Symbol" w:hAnsi="Symbol" w:hint="default"/>
      </w:rPr>
    </w:lvl>
    <w:lvl w:ilvl="1" w:tplc="0C0C0003" w:tentative="1">
      <w:start w:val="1"/>
      <w:numFmt w:val="bullet"/>
      <w:lvlText w:val="o"/>
      <w:lvlJc w:val="left"/>
      <w:pPr>
        <w:ind w:left="1799" w:hanging="360"/>
      </w:pPr>
      <w:rPr>
        <w:rFonts w:ascii="Courier New" w:hAnsi="Courier New" w:cs="Courier New" w:hint="default"/>
      </w:rPr>
    </w:lvl>
    <w:lvl w:ilvl="2" w:tplc="0C0C0005" w:tentative="1">
      <w:start w:val="1"/>
      <w:numFmt w:val="bullet"/>
      <w:lvlText w:val=""/>
      <w:lvlJc w:val="left"/>
      <w:pPr>
        <w:ind w:left="2519" w:hanging="360"/>
      </w:pPr>
      <w:rPr>
        <w:rFonts w:ascii="Wingdings" w:hAnsi="Wingdings" w:hint="default"/>
      </w:rPr>
    </w:lvl>
    <w:lvl w:ilvl="3" w:tplc="0C0C0001" w:tentative="1">
      <w:start w:val="1"/>
      <w:numFmt w:val="bullet"/>
      <w:lvlText w:val=""/>
      <w:lvlJc w:val="left"/>
      <w:pPr>
        <w:ind w:left="3239" w:hanging="360"/>
      </w:pPr>
      <w:rPr>
        <w:rFonts w:ascii="Symbol" w:hAnsi="Symbol" w:hint="default"/>
      </w:rPr>
    </w:lvl>
    <w:lvl w:ilvl="4" w:tplc="0C0C0003" w:tentative="1">
      <w:start w:val="1"/>
      <w:numFmt w:val="bullet"/>
      <w:lvlText w:val="o"/>
      <w:lvlJc w:val="left"/>
      <w:pPr>
        <w:ind w:left="3959" w:hanging="360"/>
      </w:pPr>
      <w:rPr>
        <w:rFonts w:ascii="Courier New" w:hAnsi="Courier New" w:cs="Courier New" w:hint="default"/>
      </w:rPr>
    </w:lvl>
    <w:lvl w:ilvl="5" w:tplc="0C0C0005" w:tentative="1">
      <w:start w:val="1"/>
      <w:numFmt w:val="bullet"/>
      <w:lvlText w:val=""/>
      <w:lvlJc w:val="left"/>
      <w:pPr>
        <w:ind w:left="4679" w:hanging="360"/>
      </w:pPr>
      <w:rPr>
        <w:rFonts w:ascii="Wingdings" w:hAnsi="Wingdings" w:hint="default"/>
      </w:rPr>
    </w:lvl>
    <w:lvl w:ilvl="6" w:tplc="0C0C0001" w:tentative="1">
      <w:start w:val="1"/>
      <w:numFmt w:val="bullet"/>
      <w:lvlText w:val=""/>
      <w:lvlJc w:val="left"/>
      <w:pPr>
        <w:ind w:left="5399" w:hanging="360"/>
      </w:pPr>
      <w:rPr>
        <w:rFonts w:ascii="Symbol" w:hAnsi="Symbol" w:hint="default"/>
      </w:rPr>
    </w:lvl>
    <w:lvl w:ilvl="7" w:tplc="0C0C0003" w:tentative="1">
      <w:start w:val="1"/>
      <w:numFmt w:val="bullet"/>
      <w:lvlText w:val="o"/>
      <w:lvlJc w:val="left"/>
      <w:pPr>
        <w:ind w:left="6119" w:hanging="360"/>
      </w:pPr>
      <w:rPr>
        <w:rFonts w:ascii="Courier New" w:hAnsi="Courier New" w:cs="Courier New" w:hint="default"/>
      </w:rPr>
    </w:lvl>
    <w:lvl w:ilvl="8" w:tplc="0C0C0005" w:tentative="1">
      <w:start w:val="1"/>
      <w:numFmt w:val="bullet"/>
      <w:lvlText w:val=""/>
      <w:lvlJc w:val="left"/>
      <w:pPr>
        <w:ind w:left="6839" w:hanging="360"/>
      </w:pPr>
      <w:rPr>
        <w:rFonts w:ascii="Wingdings" w:hAnsi="Wingdings" w:hint="default"/>
      </w:rPr>
    </w:lvl>
  </w:abstractNum>
  <w:abstractNum w:abstractNumId="4" w15:restartNumberingAfterBreak="0">
    <w:nsid w:val="2D456AA9"/>
    <w:multiLevelType w:val="hybridMultilevel"/>
    <w:tmpl w:val="32323450"/>
    <w:lvl w:ilvl="0" w:tplc="0C0C0001">
      <w:start w:val="1"/>
      <w:numFmt w:val="bullet"/>
      <w:lvlText w:val=""/>
      <w:lvlJc w:val="left"/>
      <w:pPr>
        <w:ind w:left="718" w:hanging="360"/>
      </w:pPr>
      <w:rPr>
        <w:rFonts w:ascii="Symbol" w:hAnsi="Symbol" w:hint="default"/>
      </w:rPr>
    </w:lvl>
    <w:lvl w:ilvl="1" w:tplc="0C0C0003" w:tentative="1">
      <w:start w:val="1"/>
      <w:numFmt w:val="bullet"/>
      <w:lvlText w:val="o"/>
      <w:lvlJc w:val="left"/>
      <w:pPr>
        <w:ind w:left="1438" w:hanging="360"/>
      </w:pPr>
      <w:rPr>
        <w:rFonts w:ascii="Courier New" w:hAnsi="Courier New" w:cs="Courier New" w:hint="default"/>
      </w:rPr>
    </w:lvl>
    <w:lvl w:ilvl="2" w:tplc="0C0C0005" w:tentative="1">
      <w:start w:val="1"/>
      <w:numFmt w:val="bullet"/>
      <w:lvlText w:val=""/>
      <w:lvlJc w:val="left"/>
      <w:pPr>
        <w:ind w:left="2158" w:hanging="360"/>
      </w:pPr>
      <w:rPr>
        <w:rFonts w:ascii="Wingdings" w:hAnsi="Wingdings" w:hint="default"/>
      </w:rPr>
    </w:lvl>
    <w:lvl w:ilvl="3" w:tplc="0C0C0001" w:tentative="1">
      <w:start w:val="1"/>
      <w:numFmt w:val="bullet"/>
      <w:lvlText w:val=""/>
      <w:lvlJc w:val="left"/>
      <w:pPr>
        <w:ind w:left="2878" w:hanging="360"/>
      </w:pPr>
      <w:rPr>
        <w:rFonts w:ascii="Symbol" w:hAnsi="Symbol" w:hint="default"/>
      </w:rPr>
    </w:lvl>
    <w:lvl w:ilvl="4" w:tplc="0C0C0003" w:tentative="1">
      <w:start w:val="1"/>
      <w:numFmt w:val="bullet"/>
      <w:lvlText w:val="o"/>
      <w:lvlJc w:val="left"/>
      <w:pPr>
        <w:ind w:left="3598" w:hanging="360"/>
      </w:pPr>
      <w:rPr>
        <w:rFonts w:ascii="Courier New" w:hAnsi="Courier New" w:cs="Courier New" w:hint="default"/>
      </w:rPr>
    </w:lvl>
    <w:lvl w:ilvl="5" w:tplc="0C0C0005" w:tentative="1">
      <w:start w:val="1"/>
      <w:numFmt w:val="bullet"/>
      <w:lvlText w:val=""/>
      <w:lvlJc w:val="left"/>
      <w:pPr>
        <w:ind w:left="4318" w:hanging="360"/>
      </w:pPr>
      <w:rPr>
        <w:rFonts w:ascii="Wingdings" w:hAnsi="Wingdings" w:hint="default"/>
      </w:rPr>
    </w:lvl>
    <w:lvl w:ilvl="6" w:tplc="0C0C0001" w:tentative="1">
      <w:start w:val="1"/>
      <w:numFmt w:val="bullet"/>
      <w:lvlText w:val=""/>
      <w:lvlJc w:val="left"/>
      <w:pPr>
        <w:ind w:left="5038" w:hanging="360"/>
      </w:pPr>
      <w:rPr>
        <w:rFonts w:ascii="Symbol" w:hAnsi="Symbol" w:hint="default"/>
      </w:rPr>
    </w:lvl>
    <w:lvl w:ilvl="7" w:tplc="0C0C0003" w:tentative="1">
      <w:start w:val="1"/>
      <w:numFmt w:val="bullet"/>
      <w:lvlText w:val="o"/>
      <w:lvlJc w:val="left"/>
      <w:pPr>
        <w:ind w:left="5758" w:hanging="360"/>
      </w:pPr>
      <w:rPr>
        <w:rFonts w:ascii="Courier New" w:hAnsi="Courier New" w:cs="Courier New" w:hint="default"/>
      </w:rPr>
    </w:lvl>
    <w:lvl w:ilvl="8" w:tplc="0C0C0005" w:tentative="1">
      <w:start w:val="1"/>
      <w:numFmt w:val="bullet"/>
      <w:lvlText w:val=""/>
      <w:lvlJc w:val="left"/>
      <w:pPr>
        <w:ind w:left="6478" w:hanging="360"/>
      </w:pPr>
      <w:rPr>
        <w:rFonts w:ascii="Wingdings" w:hAnsi="Wingdings" w:hint="default"/>
      </w:rPr>
    </w:lvl>
  </w:abstractNum>
  <w:abstractNum w:abstractNumId="5" w15:restartNumberingAfterBreak="0">
    <w:nsid w:val="43525012"/>
    <w:multiLevelType w:val="hybridMultilevel"/>
    <w:tmpl w:val="EC007968"/>
    <w:lvl w:ilvl="0" w:tplc="F118BCEA">
      <w:start w:val="1"/>
      <w:numFmt w:val="decimal"/>
      <w:lvlText w:val="%1."/>
      <w:lvlJc w:val="center"/>
      <w:pPr>
        <w:ind w:left="720" w:hanging="360"/>
      </w:pPr>
      <w:rPr>
        <w:rFonts w:ascii="Arial" w:eastAsia="Calibri" w:hAnsi="Arial" w:cs="Arial"/>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F7875CA"/>
    <w:multiLevelType w:val="hybridMultilevel"/>
    <w:tmpl w:val="AA44A6D6"/>
    <w:lvl w:ilvl="0" w:tplc="0C0C0001">
      <w:start w:val="1"/>
      <w:numFmt w:val="bullet"/>
      <w:lvlText w:val=""/>
      <w:lvlJc w:val="left"/>
      <w:pPr>
        <w:ind w:left="722" w:hanging="360"/>
      </w:pPr>
      <w:rPr>
        <w:rFonts w:ascii="Symbol" w:hAnsi="Symbol" w:hint="default"/>
      </w:rPr>
    </w:lvl>
    <w:lvl w:ilvl="1" w:tplc="0C0C0003">
      <w:start w:val="1"/>
      <w:numFmt w:val="bullet"/>
      <w:lvlText w:val="o"/>
      <w:lvlJc w:val="left"/>
      <w:pPr>
        <w:ind w:left="1442" w:hanging="360"/>
      </w:pPr>
      <w:rPr>
        <w:rFonts w:ascii="Courier New" w:hAnsi="Courier New" w:cs="Courier New" w:hint="default"/>
      </w:rPr>
    </w:lvl>
    <w:lvl w:ilvl="2" w:tplc="0C0C0005" w:tentative="1">
      <w:start w:val="1"/>
      <w:numFmt w:val="bullet"/>
      <w:lvlText w:val=""/>
      <w:lvlJc w:val="left"/>
      <w:pPr>
        <w:ind w:left="2162" w:hanging="360"/>
      </w:pPr>
      <w:rPr>
        <w:rFonts w:ascii="Wingdings" w:hAnsi="Wingdings" w:hint="default"/>
      </w:rPr>
    </w:lvl>
    <w:lvl w:ilvl="3" w:tplc="0C0C0001" w:tentative="1">
      <w:start w:val="1"/>
      <w:numFmt w:val="bullet"/>
      <w:lvlText w:val=""/>
      <w:lvlJc w:val="left"/>
      <w:pPr>
        <w:ind w:left="2882" w:hanging="360"/>
      </w:pPr>
      <w:rPr>
        <w:rFonts w:ascii="Symbol" w:hAnsi="Symbol" w:hint="default"/>
      </w:rPr>
    </w:lvl>
    <w:lvl w:ilvl="4" w:tplc="0C0C0003" w:tentative="1">
      <w:start w:val="1"/>
      <w:numFmt w:val="bullet"/>
      <w:lvlText w:val="o"/>
      <w:lvlJc w:val="left"/>
      <w:pPr>
        <w:ind w:left="3602" w:hanging="360"/>
      </w:pPr>
      <w:rPr>
        <w:rFonts w:ascii="Courier New" w:hAnsi="Courier New" w:cs="Courier New" w:hint="default"/>
      </w:rPr>
    </w:lvl>
    <w:lvl w:ilvl="5" w:tplc="0C0C0005" w:tentative="1">
      <w:start w:val="1"/>
      <w:numFmt w:val="bullet"/>
      <w:lvlText w:val=""/>
      <w:lvlJc w:val="left"/>
      <w:pPr>
        <w:ind w:left="4322" w:hanging="360"/>
      </w:pPr>
      <w:rPr>
        <w:rFonts w:ascii="Wingdings" w:hAnsi="Wingdings" w:hint="default"/>
      </w:rPr>
    </w:lvl>
    <w:lvl w:ilvl="6" w:tplc="0C0C0001" w:tentative="1">
      <w:start w:val="1"/>
      <w:numFmt w:val="bullet"/>
      <w:lvlText w:val=""/>
      <w:lvlJc w:val="left"/>
      <w:pPr>
        <w:ind w:left="5042" w:hanging="360"/>
      </w:pPr>
      <w:rPr>
        <w:rFonts w:ascii="Symbol" w:hAnsi="Symbol" w:hint="default"/>
      </w:rPr>
    </w:lvl>
    <w:lvl w:ilvl="7" w:tplc="0C0C0003" w:tentative="1">
      <w:start w:val="1"/>
      <w:numFmt w:val="bullet"/>
      <w:lvlText w:val="o"/>
      <w:lvlJc w:val="left"/>
      <w:pPr>
        <w:ind w:left="5762" w:hanging="360"/>
      </w:pPr>
      <w:rPr>
        <w:rFonts w:ascii="Courier New" w:hAnsi="Courier New" w:cs="Courier New" w:hint="default"/>
      </w:rPr>
    </w:lvl>
    <w:lvl w:ilvl="8" w:tplc="0C0C0005" w:tentative="1">
      <w:start w:val="1"/>
      <w:numFmt w:val="bullet"/>
      <w:lvlText w:val=""/>
      <w:lvlJc w:val="left"/>
      <w:pPr>
        <w:ind w:left="6482" w:hanging="360"/>
      </w:pPr>
      <w:rPr>
        <w:rFonts w:ascii="Wingdings" w:hAnsi="Wingdings" w:hint="default"/>
      </w:rPr>
    </w:lvl>
  </w:abstractNum>
  <w:abstractNum w:abstractNumId="7" w15:restartNumberingAfterBreak="0">
    <w:nsid w:val="561529FE"/>
    <w:multiLevelType w:val="multilevel"/>
    <w:tmpl w:val="77183FC0"/>
    <w:styleLink w:val="Style1"/>
    <w:lvl w:ilvl="0">
      <w:start w:val="1"/>
      <w:numFmt w:val="bullet"/>
      <w:lvlText w:val=""/>
      <w:lvlJc w:val="center"/>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730D2B"/>
    <w:multiLevelType w:val="hybridMultilevel"/>
    <w:tmpl w:val="B37E965E"/>
    <w:lvl w:ilvl="0" w:tplc="86ACF70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012364">
    <w:abstractNumId w:val="0"/>
  </w:num>
  <w:num w:numId="2" w16cid:durableId="714891795">
    <w:abstractNumId w:val="4"/>
  </w:num>
  <w:num w:numId="3" w16cid:durableId="604777078">
    <w:abstractNumId w:val="1"/>
  </w:num>
  <w:num w:numId="4" w16cid:durableId="1620063661">
    <w:abstractNumId w:val="6"/>
  </w:num>
  <w:num w:numId="5" w16cid:durableId="859515463">
    <w:abstractNumId w:val="3"/>
  </w:num>
  <w:num w:numId="6" w16cid:durableId="991980731">
    <w:abstractNumId w:val="7"/>
  </w:num>
  <w:num w:numId="7" w16cid:durableId="1124808358">
    <w:abstractNumId w:val="5"/>
  </w:num>
  <w:num w:numId="8" w16cid:durableId="1604191360">
    <w:abstractNumId w:val="8"/>
  </w:num>
  <w:num w:numId="9" w16cid:durableId="181825647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3C"/>
    <w:rsid w:val="0000132E"/>
    <w:rsid w:val="000036C4"/>
    <w:rsid w:val="00003A29"/>
    <w:rsid w:val="00003CAA"/>
    <w:rsid w:val="0001484D"/>
    <w:rsid w:val="00017313"/>
    <w:rsid w:val="0002005E"/>
    <w:rsid w:val="00024FC4"/>
    <w:rsid w:val="00026063"/>
    <w:rsid w:val="0003269B"/>
    <w:rsid w:val="00033BD9"/>
    <w:rsid w:val="000343E2"/>
    <w:rsid w:val="000363D0"/>
    <w:rsid w:val="00040822"/>
    <w:rsid w:val="00040B68"/>
    <w:rsid w:val="000444D6"/>
    <w:rsid w:val="0004573E"/>
    <w:rsid w:val="0004689A"/>
    <w:rsid w:val="00047247"/>
    <w:rsid w:val="000566F2"/>
    <w:rsid w:val="00063A7C"/>
    <w:rsid w:val="000649B1"/>
    <w:rsid w:val="00065FB8"/>
    <w:rsid w:val="0006766C"/>
    <w:rsid w:val="00073004"/>
    <w:rsid w:val="00075A17"/>
    <w:rsid w:val="00076BEA"/>
    <w:rsid w:val="00077F9E"/>
    <w:rsid w:val="000842F0"/>
    <w:rsid w:val="00090BB0"/>
    <w:rsid w:val="00091797"/>
    <w:rsid w:val="00093313"/>
    <w:rsid w:val="00093937"/>
    <w:rsid w:val="000A1CFF"/>
    <w:rsid w:val="000A3AE5"/>
    <w:rsid w:val="000A7AE6"/>
    <w:rsid w:val="000B0158"/>
    <w:rsid w:val="000B2E6F"/>
    <w:rsid w:val="000B63DF"/>
    <w:rsid w:val="000C1C3A"/>
    <w:rsid w:val="000C1FE3"/>
    <w:rsid w:val="000C3C05"/>
    <w:rsid w:val="000C65F7"/>
    <w:rsid w:val="000D4156"/>
    <w:rsid w:val="000D5499"/>
    <w:rsid w:val="000E154F"/>
    <w:rsid w:val="000F00DD"/>
    <w:rsid w:val="000F1BA7"/>
    <w:rsid w:val="000F5C5C"/>
    <w:rsid w:val="00103319"/>
    <w:rsid w:val="00104F9A"/>
    <w:rsid w:val="00106B52"/>
    <w:rsid w:val="00114523"/>
    <w:rsid w:val="00115748"/>
    <w:rsid w:val="00117F6C"/>
    <w:rsid w:val="00122DB0"/>
    <w:rsid w:val="00131BA3"/>
    <w:rsid w:val="0013632D"/>
    <w:rsid w:val="00143747"/>
    <w:rsid w:val="00145806"/>
    <w:rsid w:val="00147CBE"/>
    <w:rsid w:val="00150255"/>
    <w:rsid w:val="00150E61"/>
    <w:rsid w:val="00152CC4"/>
    <w:rsid w:val="00157A82"/>
    <w:rsid w:val="001613B8"/>
    <w:rsid w:val="0016325E"/>
    <w:rsid w:val="001635C1"/>
    <w:rsid w:val="001659FC"/>
    <w:rsid w:val="00166FA7"/>
    <w:rsid w:val="00167614"/>
    <w:rsid w:val="00183D30"/>
    <w:rsid w:val="0018670F"/>
    <w:rsid w:val="0019483C"/>
    <w:rsid w:val="001965B8"/>
    <w:rsid w:val="001970E5"/>
    <w:rsid w:val="001A0EF7"/>
    <w:rsid w:val="001A1009"/>
    <w:rsid w:val="001A1BD5"/>
    <w:rsid w:val="001A2DB7"/>
    <w:rsid w:val="001A39C1"/>
    <w:rsid w:val="001A3DD7"/>
    <w:rsid w:val="001A6A6F"/>
    <w:rsid w:val="001B2AD4"/>
    <w:rsid w:val="001B3583"/>
    <w:rsid w:val="001B35CD"/>
    <w:rsid w:val="001B7D46"/>
    <w:rsid w:val="001C5854"/>
    <w:rsid w:val="001C6295"/>
    <w:rsid w:val="001D1324"/>
    <w:rsid w:val="001D2617"/>
    <w:rsid w:val="001D2BC9"/>
    <w:rsid w:val="001D4ADC"/>
    <w:rsid w:val="001D673F"/>
    <w:rsid w:val="001E3D06"/>
    <w:rsid w:val="001E7B64"/>
    <w:rsid w:val="001F03B6"/>
    <w:rsid w:val="001F2092"/>
    <w:rsid w:val="001F3FA2"/>
    <w:rsid w:val="002035A6"/>
    <w:rsid w:val="002051F2"/>
    <w:rsid w:val="00210E17"/>
    <w:rsid w:val="00211B00"/>
    <w:rsid w:val="00212102"/>
    <w:rsid w:val="00222252"/>
    <w:rsid w:val="00223CD5"/>
    <w:rsid w:val="00226D72"/>
    <w:rsid w:val="00236E9F"/>
    <w:rsid w:val="00244908"/>
    <w:rsid w:val="002463CE"/>
    <w:rsid w:val="0024688C"/>
    <w:rsid w:val="002551B7"/>
    <w:rsid w:val="002579EF"/>
    <w:rsid w:val="002709B5"/>
    <w:rsid w:val="002817FE"/>
    <w:rsid w:val="002856D4"/>
    <w:rsid w:val="00287903"/>
    <w:rsid w:val="002973CE"/>
    <w:rsid w:val="002973D9"/>
    <w:rsid w:val="002A5048"/>
    <w:rsid w:val="002A7895"/>
    <w:rsid w:val="002B7C0C"/>
    <w:rsid w:val="002C1A29"/>
    <w:rsid w:val="002C6C59"/>
    <w:rsid w:val="002C75E5"/>
    <w:rsid w:val="002C7ECB"/>
    <w:rsid w:val="002D129B"/>
    <w:rsid w:val="002D1853"/>
    <w:rsid w:val="002D1ED6"/>
    <w:rsid w:val="002D7617"/>
    <w:rsid w:val="002D7A01"/>
    <w:rsid w:val="002E02D9"/>
    <w:rsid w:val="002E034B"/>
    <w:rsid w:val="002E057A"/>
    <w:rsid w:val="002E1B8D"/>
    <w:rsid w:val="002E24D8"/>
    <w:rsid w:val="002E6AED"/>
    <w:rsid w:val="002E7C13"/>
    <w:rsid w:val="002F12FC"/>
    <w:rsid w:val="00302547"/>
    <w:rsid w:val="003050EE"/>
    <w:rsid w:val="00305792"/>
    <w:rsid w:val="00306B45"/>
    <w:rsid w:val="003106D5"/>
    <w:rsid w:val="00310C70"/>
    <w:rsid w:val="0032256C"/>
    <w:rsid w:val="00323622"/>
    <w:rsid w:val="003253AB"/>
    <w:rsid w:val="00327782"/>
    <w:rsid w:val="00332E6C"/>
    <w:rsid w:val="0033364D"/>
    <w:rsid w:val="00337DAB"/>
    <w:rsid w:val="00340385"/>
    <w:rsid w:val="00345449"/>
    <w:rsid w:val="00347B0F"/>
    <w:rsid w:val="0035269E"/>
    <w:rsid w:val="00353696"/>
    <w:rsid w:val="00353C4F"/>
    <w:rsid w:val="0036265A"/>
    <w:rsid w:val="00362923"/>
    <w:rsid w:val="0036335F"/>
    <w:rsid w:val="0036630B"/>
    <w:rsid w:val="00376138"/>
    <w:rsid w:val="00377AB6"/>
    <w:rsid w:val="0038045F"/>
    <w:rsid w:val="00381E7D"/>
    <w:rsid w:val="003836CA"/>
    <w:rsid w:val="003871B1"/>
    <w:rsid w:val="00390B46"/>
    <w:rsid w:val="003943B0"/>
    <w:rsid w:val="00394CB3"/>
    <w:rsid w:val="00395200"/>
    <w:rsid w:val="003A1151"/>
    <w:rsid w:val="003A125B"/>
    <w:rsid w:val="003A29D5"/>
    <w:rsid w:val="003A3B3B"/>
    <w:rsid w:val="003B1379"/>
    <w:rsid w:val="003B65E8"/>
    <w:rsid w:val="003C46CA"/>
    <w:rsid w:val="003C7CE0"/>
    <w:rsid w:val="003D4EAE"/>
    <w:rsid w:val="003D6C6A"/>
    <w:rsid w:val="003E1093"/>
    <w:rsid w:val="003E304D"/>
    <w:rsid w:val="003E5058"/>
    <w:rsid w:val="003E7741"/>
    <w:rsid w:val="003F1301"/>
    <w:rsid w:val="003F4981"/>
    <w:rsid w:val="003F5A25"/>
    <w:rsid w:val="003F7718"/>
    <w:rsid w:val="004024DA"/>
    <w:rsid w:val="00406DB1"/>
    <w:rsid w:val="004144A8"/>
    <w:rsid w:val="00422607"/>
    <w:rsid w:val="004228BC"/>
    <w:rsid w:val="004231B0"/>
    <w:rsid w:val="004232F9"/>
    <w:rsid w:val="00423A55"/>
    <w:rsid w:val="00424BB2"/>
    <w:rsid w:val="00425B6A"/>
    <w:rsid w:val="00434C75"/>
    <w:rsid w:val="004376C8"/>
    <w:rsid w:val="004425E7"/>
    <w:rsid w:val="00450D3E"/>
    <w:rsid w:val="0045177A"/>
    <w:rsid w:val="00451802"/>
    <w:rsid w:val="00451C6A"/>
    <w:rsid w:val="00452161"/>
    <w:rsid w:val="004564EB"/>
    <w:rsid w:val="00456B95"/>
    <w:rsid w:val="00466552"/>
    <w:rsid w:val="00466613"/>
    <w:rsid w:val="0047131A"/>
    <w:rsid w:val="00472C41"/>
    <w:rsid w:val="00476738"/>
    <w:rsid w:val="00481187"/>
    <w:rsid w:val="004811C0"/>
    <w:rsid w:val="00484D3B"/>
    <w:rsid w:val="004948C5"/>
    <w:rsid w:val="00496BEA"/>
    <w:rsid w:val="004979C6"/>
    <w:rsid w:val="004A47F1"/>
    <w:rsid w:val="004A49BE"/>
    <w:rsid w:val="004A51A2"/>
    <w:rsid w:val="004A6017"/>
    <w:rsid w:val="004A79E8"/>
    <w:rsid w:val="004B100C"/>
    <w:rsid w:val="004B3D91"/>
    <w:rsid w:val="004B495E"/>
    <w:rsid w:val="004B4C99"/>
    <w:rsid w:val="004B631C"/>
    <w:rsid w:val="004B67F6"/>
    <w:rsid w:val="004C4AA5"/>
    <w:rsid w:val="004D22F7"/>
    <w:rsid w:val="004D28B5"/>
    <w:rsid w:val="004D5C7C"/>
    <w:rsid w:val="004D7F9E"/>
    <w:rsid w:val="004E2B57"/>
    <w:rsid w:val="004E50AD"/>
    <w:rsid w:val="004E7152"/>
    <w:rsid w:val="004E79B4"/>
    <w:rsid w:val="004F08A7"/>
    <w:rsid w:val="004F147F"/>
    <w:rsid w:val="004F2111"/>
    <w:rsid w:val="004F236C"/>
    <w:rsid w:val="00500807"/>
    <w:rsid w:val="00500B89"/>
    <w:rsid w:val="00505794"/>
    <w:rsid w:val="00506D3B"/>
    <w:rsid w:val="00507B5B"/>
    <w:rsid w:val="00511896"/>
    <w:rsid w:val="005168F6"/>
    <w:rsid w:val="00520754"/>
    <w:rsid w:val="005226D6"/>
    <w:rsid w:val="0052311B"/>
    <w:rsid w:val="00524DFF"/>
    <w:rsid w:val="005252C2"/>
    <w:rsid w:val="00525FF2"/>
    <w:rsid w:val="0054356A"/>
    <w:rsid w:val="00545A0B"/>
    <w:rsid w:val="00550AC8"/>
    <w:rsid w:val="00554D32"/>
    <w:rsid w:val="00557684"/>
    <w:rsid w:val="00557A67"/>
    <w:rsid w:val="00565EE2"/>
    <w:rsid w:val="00570396"/>
    <w:rsid w:val="00570931"/>
    <w:rsid w:val="00570A4D"/>
    <w:rsid w:val="0057231F"/>
    <w:rsid w:val="005745D9"/>
    <w:rsid w:val="00574AAB"/>
    <w:rsid w:val="00575898"/>
    <w:rsid w:val="00580179"/>
    <w:rsid w:val="005823B3"/>
    <w:rsid w:val="0059098A"/>
    <w:rsid w:val="005946EF"/>
    <w:rsid w:val="005975B7"/>
    <w:rsid w:val="005A0568"/>
    <w:rsid w:val="005A0ABD"/>
    <w:rsid w:val="005A1929"/>
    <w:rsid w:val="005A4D71"/>
    <w:rsid w:val="005A5E39"/>
    <w:rsid w:val="005A692B"/>
    <w:rsid w:val="005A7445"/>
    <w:rsid w:val="005B29F9"/>
    <w:rsid w:val="005B645D"/>
    <w:rsid w:val="005C4E33"/>
    <w:rsid w:val="005C52C4"/>
    <w:rsid w:val="005C52D1"/>
    <w:rsid w:val="005C75A3"/>
    <w:rsid w:val="005D4F7C"/>
    <w:rsid w:val="005D5D24"/>
    <w:rsid w:val="005E17D6"/>
    <w:rsid w:val="005E2176"/>
    <w:rsid w:val="005E3069"/>
    <w:rsid w:val="005F08A9"/>
    <w:rsid w:val="005F5EF9"/>
    <w:rsid w:val="00603824"/>
    <w:rsid w:val="00617F84"/>
    <w:rsid w:val="006202D0"/>
    <w:rsid w:val="0062297A"/>
    <w:rsid w:val="00623298"/>
    <w:rsid w:val="00626E63"/>
    <w:rsid w:val="006310C5"/>
    <w:rsid w:val="00634EFC"/>
    <w:rsid w:val="006408DA"/>
    <w:rsid w:val="0064226E"/>
    <w:rsid w:val="006450D4"/>
    <w:rsid w:val="00645224"/>
    <w:rsid w:val="00647CA5"/>
    <w:rsid w:val="00650ABC"/>
    <w:rsid w:val="006515B1"/>
    <w:rsid w:val="006534A3"/>
    <w:rsid w:val="00660329"/>
    <w:rsid w:val="00664FE2"/>
    <w:rsid w:val="00667AA7"/>
    <w:rsid w:val="0067052B"/>
    <w:rsid w:val="0067129A"/>
    <w:rsid w:val="00674AB3"/>
    <w:rsid w:val="00675BE5"/>
    <w:rsid w:val="00681ECE"/>
    <w:rsid w:val="00685FA5"/>
    <w:rsid w:val="00694D39"/>
    <w:rsid w:val="00696C80"/>
    <w:rsid w:val="006A006E"/>
    <w:rsid w:val="006A26A4"/>
    <w:rsid w:val="006A3FCE"/>
    <w:rsid w:val="006A4C11"/>
    <w:rsid w:val="006A5B48"/>
    <w:rsid w:val="006B2009"/>
    <w:rsid w:val="006B5116"/>
    <w:rsid w:val="006C22D5"/>
    <w:rsid w:val="006C5C26"/>
    <w:rsid w:val="006C6F6A"/>
    <w:rsid w:val="006D1C4B"/>
    <w:rsid w:val="006D272B"/>
    <w:rsid w:val="006D5DAE"/>
    <w:rsid w:val="006E423C"/>
    <w:rsid w:val="006E5C7A"/>
    <w:rsid w:val="006E7148"/>
    <w:rsid w:val="006F34C1"/>
    <w:rsid w:val="007067F3"/>
    <w:rsid w:val="00712E8D"/>
    <w:rsid w:val="007136B4"/>
    <w:rsid w:val="007202D9"/>
    <w:rsid w:val="00721306"/>
    <w:rsid w:val="007250F9"/>
    <w:rsid w:val="007252BD"/>
    <w:rsid w:val="00726103"/>
    <w:rsid w:val="00730805"/>
    <w:rsid w:val="00730E73"/>
    <w:rsid w:val="0073105C"/>
    <w:rsid w:val="00744527"/>
    <w:rsid w:val="007506F6"/>
    <w:rsid w:val="00751C09"/>
    <w:rsid w:val="007526E5"/>
    <w:rsid w:val="00753AC2"/>
    <w:rsid w:val="007615B1"/>
    <w:rsid w:val="00764660"/>
    <w:rsid w:val="00770647"/>
    <w:rsid w:val="00772202"/>
    <w:rsid w:val="0077610D"/>
    <w:rsid w:val="0078486B"/>
    <w:rsid w:val="007A05C9"/>
    <w:rsid w:val="007A121F"/>
    <w:rsid w:val="007A3B3E"/>
    <w:rsid w:val="007A5173"/>
    <w:rsid w:val="007A767C"/>
    <w:rsid w:val="007B3F56"/>
    <w:rsid w:val="007B4A01"/>
    <w:rsid w:val="007B660D"/>
    <w:rsid w:val="007C1E1E"/>
    <w:rsid w:val="007C32FA"/>
    <w:rsid w:val="007C3BAB"/>
    <w:rsid w:val="007C5107"/>
    <w:rsid w:val="007D07FB"/>
    <w:rsid w:val="007D44ED"/>
    <w:rsid w:val="007D478D"/>
    <w:rsid w:val="007D6F34"/>
    <w:rsid w:val="007D7C22"/>
    <w:rsid w:val="007E0B02"/>
    <w:rsid w:val="007E49A9"/>
    <w:rsid w:val="007E5394"/>
    <w:rsid w:val="007F05DB"/>
    <w:rsid w:val="007F0E58"/>
    <w:rsid w:val="007F54E1"/>
    <w:rsid w:val="008014C2"/>
    <w:rsid w:val="008021ED"/>
    <w:rsid w:val="00803F21"/>
    <w:rsid w:val="00804ED6"/>
    <w:rsid w:val="00807235"/>
    <w:rsid w:val="008134E4"/>
    <w:rsid w:val="00817BCA"/>
    <w:rsid w:val="008231C3"/>
    <w:rsid w:val="00831C17"/>
    <w:rsid w:val="00833F44"/>
    <w:rsid w:val="00834B84"/>
    <w:rsid w:val="008431D3"/>
    <w:rsid w:val="008438B6"/>
    <w:rsid w:val="00844ED1"/>
    <w:rsid w:val="0085019A"/>
    <w:rsid w:val="00852EAB"/>
    <w:rsid w:val="008531DF"/>
    <w:rsid w:val="008538FB"/>
    <w:rsid w:val="00853D10"/>
    <w:rsid w:val="00855B49"/>
    <w:rsid w:val="0085661B"/>
    <w:rsid w:val="00856E02"/>
    <w:rsid w:val="00860896"/>
    <w:rsid w:val="00866807"/>
    <w:rsid w:val="00866ED3"/>
    <w:rsid w:val="00866EDD"/>
    <w:rsid w:val="0086773C"/>
    <w:rsid w:val="00877E78"/>
    <w:rsid w:val="00883B72"/>
    <w:rsid w:val="00884702"/>
    <w:rsid w:val="008862A7"/>
    <w:rsid w:val="00886616"/>
    <w:rsid w:val="0089128C"/>
    <w:rsid w:val="00894530"/>
    <w:rsid w:val="00896848"/>
    <w:rsid w:val="00897D4A"/>
    <w:rsid w:val="008B2EBD"/>
    <w:rsid w:val="008B2EDE"/>
    <w:rsid w:val="008C5FCA"/>
    <w:rsid w:val="008D0344"/>
    <w:rsid w:val="008D73C8"/>
    <w:rsid w:val="008D7FAA"/>
    <w:rsid w:val="008E3105"/>
    <w:rsid w:val="008E469D"/>
    <w:rsid w:val="008E58D2"/>
    <w:rsid w:val="008E5E9B"/>
    <w:rsid w:val="008E6049"/>
    <w:rsid w:val="008F1674"/>
    <w:rsid w:val="008F5EF8"/>
    <w:rsid w:val="008F62BD"/>
    <w:rsid w:val="008F7EBF"/>
    <w:rsid w:val="00900A8A"/>
    <w:rsid w:val="0090198E"/>
    <w:rsid w:val="009033CD"/>
    <w:rsid w:val="0091053A"/>
    <w:rsid w:val="00914E62"/>
    <w:rsid w:val="009204BB"/>
    <w:rsid w:val="00920702"/>
    <w:rsid w:val="009262A5"/>
    <w:rsid w:val="0092725B"/>
    <w:rsid w:val="00930EA3"/>
    <w:rsid w:val="00931017"/>
    <w:rsid w:val="00940BCE"/>
    <w:rsid w:val="00941528"/>
    <w:rsid w:val="009415C4"/>
    <w:rsid w:val="009534C7"/>
    <w:rsid w:val="009608DE"/>
    <w:rsid w:val="00962D8D"/>
    <w:rsid w:val="009633BA"/>
    <w:rsid w:val="00967ACC"/>
    <w:rsid w:val="00970368"/>
    <w:rsid w:val="009727F5"/>
    <w:rsid w:val="00976614"/>
    <w:rsid w:val="00980CD7"/>
    <w:rsid w:val="00980CE3"/>
    <w:rsid w:val="00981FBA"/>
    <w:rsid w:val="0098479F"/>
    <w:rsid w:val="00986AE4"/>
    <w:rsid w:val="00986B96"/>
    <w:rsid w:val="0098705E"/>
    <w:rsid w:val="009904AB"/>
    <w:rsid w:val="00990A11"/>
    <w:rsid w:val="009928C0"/>
    <w:rsid w:val="009A232D"/>
    <w:rsid w:val="009A2E5E"/>
    <w:rsid w:val="009A3422"/>
    <w:rsid w:val="009A724A"/>
    <w:rsid w:val="009B0B04"/>
    <w:rsid w:val="009B0D4C"/>
    <w:rsid w:val="009B2186"/>
    <w:rsid w:val="009B25C0"/>
    <w:rsid w:val="009B5FAF"/>
    <w:rsid w:val="009C34ED"/>
    <w:rsid w:val="009C4F53"/>
    <w:rsid w:val="009C6E25"/>
    <w:rsid w:val="009D1D86"/>
    <w:rsid w:val="009E14CA"/>
    <w:rsid w:val="009E2AFD"/>
    <w:rsid w:val="009E4855"/>
    <w:rsid w:val="009E5687"/>
    <w:rsid w:val="009F106A"/>
    <w:rsid w:val="009F153D"/>
    <w:rsid w:val="009F1547"/>
    <w:rsid w:val="009F4C6E"/>
    <w:rsid w:val="009F56D0"/>
    <w:rsid w:val="009F7225"/>
    <w:rsid w:val="00A0058F"/>
    <w:rsid w:val="00A01762"/>
    <w:rsid w:val="00A030DD"/>
    <w:rsid w:val="00A1430A"/>
    <w:rsid w:val="00A15856"/>
    <w:rsid w:val="00A244F1"/>
    <w:rsid w:val="00A32EE3"/>
    <w:rsid w:val="00A345B3"/>
    <w:rsid w:val="00A34AE7"/>
    <w:rsid w:val="00A3513E"/>
    <w:rsid w:val="00A36421"/>
    <w:rsid w:val="00A36CEC"/>
    <w:rsid w:val="00A41378"/>
    <w:rsid w:val="00A434C5"/>
    <w:rsid w:val="00A47A3A"/>
    <w:rsid w:val="00A51DB6"/>
    <w:rsid w:val="00A53350"/>
    <w:rsid w:val="00A55435"/>
    <w:rsid w:val="00A60FAE"/>
    <w:rsid w:val="00A658AD"/>
    <w:rsid w:val="00A66909"/>
    <w:rsid w:val="00A71AAB"/>
    <w:rsid w:val="00A72021"/>
    <w:rsid w:val="00A7336C"/>
    <w:rsid w:val="00A74380"/>
    <w:rsid w:val="00A757BD"/>
    <w:rsid w:val="00A817A5"/>
    <w:rsid w:val="00A82673"/>
    <w:rsid w:val="00A85CE8"/>
    <w:rsid w:val="00A87F51"/>
    <w:rsid w:val="00A903C9"/>
    <w:rsid w:val="00A91FD1"/>
    <w:rsid w:val="00A94A98"/>
    <w:rsid w:val="00A961C3"/>
    <w:rsid w:val="00A97F5F"/>
    <w:rsid w:val="00AA02B8"/>
    <w:rsid w:val="00AA091E"/>
    <w:rsid w:val="00AA0E6A"/>
    <w:rsid w:val="00AA13E3"/>
    <w:rsid w:val="00AB7FB4"/>
    <w:rsid w:val="00AC01D9"/>
    <w:rsid w:val="00AC0799"/>
    <w:rsid w:val="00AC4A99"/>
    <w:rsid w:val="00AD4174"/>
    <w:rsid w:val="00AD7396"/>
    <w:rsid w:val="00AE5DE3"/>
    <w:rsid w:val="00AE621D"/>
    <w:rsid w:val="00AE642E"/>
    <w:rsid w:val="00AF3127"/>
    <w:rsid w:val="00B12903"/>
    <w:rsid w:val="00B13BB9"/>
    <w:rsid w:val="00B17D0C"/>
    <w:rsid w:val="00B25459"/>
    <w:rsid w:val="00B2656C"/>
    <w:rsid w:val="00B31675"/>
    <w:rsid w:val="00B4688B"/>
    <w:rsid w:val="00B46F26"/>
    <w:rsid w:val="00B5027F"/>
    <w:rsid w:val="00B5119E"/>
    <w:rsid w:val="00B51AF3"/>
    <w:rsid w:val="00B52AA6"/>
    <w:rsid w:val="00B625EB"/>
    <w:rsid w:val="00B62805"/>
    <w:rsid w:val="00B656C8"/>
    <w:rsid w:val="00B65C10"/>
    <w:rsid w:val="00B70CAD"/>
    <w:rsid w:val="00B8073E"/>
    <w:rsid w:val="00B81777"/>
    <w:rsid w:val="00B86924"/>
    <w:rsid w:val="00B93FE6"/>
    <w:rsid w:val="00B974E1"/>
    <w:rsid w:val="00BA2D2B"/>
    <w:rsid w:val="00BA7B3D"/>
    <w:rsid w:val="00BB3963"/>
    <w:rsid w:val="00BB6F4C"/>
    <w:rsid w:val="00BC4D61"/>
    <w:rsid w:val="00BD13CC"/>
    <w:rsid w:val="00BD343E"/>
    <w:rsid w:val="00BD5C7F"/>
    <w:rsid w:val="00BE0526"/>
    <w:rsid w:val="00BE11A6"/>
    <w:rsid w:val="00BE1DF4"/>
    <w:rsid w:val="00BE2FC2"/>
    <w:rsid w:val="00BE3207"/>
    <w:rsid w:val="00BE690D"/>
    <w:rsid w:val="00BF10F9"/>
    <w:rsid w:val="00BF1BC4"/>
    <w:rsid w:val="00BF20ED"/>
    <w:rsid w:val="00BF5882"/>
    <w:rsid w:val="00BF6BD9"/>
    <w:rsid w:val="00BF758B"/>
    <w:rsid w:val="00C006B4"/>
    <w:rsid w:val="00C0111F"/>
    <w:rsid w:val="00C01160"/>
    <w:rsid w:val="00C0194C"/>
    <w:rsid w:val="00C03104"/>
    <w:rsid w:val="00C074D7"/>
    <w:rsid w:val="00C115BF"/>
    <w:rsid w:val="00C131FC"/>
    <w:rsid w:val="00C31AEB"/>
    <w:rsid w:val="00C34710"/>
    <w:rsid w:val="00C347FF"/>
    <w:rsid w:val="00C41572"/>
    <w:rsid w:val="00C43093"/>
    <w:rsid w:val="00C47839"/>
    <w:rsid w:val="00C53B67"/>
    <w:rsid w:val="00C55CE6"/>
    <w:rsid w:val="00C560BF"/>
    <w:rsid w:val="00C60008"/>
    <w:rsid w:val="00C6003F"/>
    <w:rsid w:val="00C64B9D"/>
    <w:rsid w:val="00C6536E"/>
    <w:rsid w:val="00C67585"/>
    <w:rsid w:val="00C67592"/>
    <w:rsid w:val="00C70E77"/>
    <w:rsid w:val="00C71BFF"/>
    <w:rsid w:val="00C86466"/>
    <w:rsid w:val="00C86A24"/>
    <w:rsid w:val="00C86C09"/>
    <w:rsid w:val="00C875C0"/>
    <w:rsid w:val="00C94541"/>
    <w:rsid w:val="00C946E4"/>
    <w:rsid w:val="00C948D1"/>
    <w:rsid w:val="00C968DF"/>
    <w:rsid w:val="00C97BD4"/>
    <w:rsid w:val="00C97E2A"/>
    <w:rsid w:val="00CA058A"/>
    <w:rsid w:val="00CA1602"/>
    <w:rsid w:val="00CA485B"/>
    <w:rsid w:val="00CA5EAE"/>
    <w:rsid w:val="00CB1C9C"/>
    <w:rsid w:val="00CB1D39"/>
    <w:rsid w:val="00CB2A15"/>
    <w:rsid w:val="00CB38DE"/>
    <w:rsid w:val="00CB5DAA"/>
    <w:rsid w:val="00CB72B8"/>
    <w:rsid w:val="00CC0ECA"/>
    <w:rsid w:val="00CC1937"/>
    <w:rsid w:val="00CC278C"/>
    <w:rsid w:val="00CC4663"/>
    <w:rsid w:val="00CC4FCF"/>
    <w:rsid w:val="00CC51B2"/>
    <w:rsid w:val="00CC7CE0"/>
    <w:rsid w:val="00CD0B25"/>
    <w:rsid w:val="00CD13ED"/>
    <w:rsid w:val="00CD5C28"/>
    <w:rsid w:val="00CD7A11"/>
    <w:rsid w:val="00CD7F62"/>
    <w:rsid w:val="00CE0B60"/>
    <w:rsid w:val="00CF1203"/>
    <w:rsid w:val="00CF1DBB"/>
    <w:rsid w:val="00CF363A"/>
    <w:rsid w:val="00CF3B4C"/>
    <w:rsid w:val="00CF4ACD"/>
    <w:rsid w:val="00CF7FB4"/>
    <w:rsid w:val="00D00BB5"/>
    <w:rsid w:val="00D06E74"/>
    <w:rsid w:val="00D0718E"/>
    <w:rsid w:val="00D11424"/>
    <w:rsid w:val="00D147EF"/>
    <w:rsid w:val="00D2125A"/>
    <w:rsid w:val="00D23371"/>
    <w:rsid w:val="00D3000C"/>
    <w:rsid w:val="00D32754"/>
    <w:rsid w:val="00D327B0"/>
    <w:rsid w:val="00D40BF3"/>
    <w:rsid w:val="00D4244F"/>
    <w:rsid w:val="00D441E7"/>
    <w:rsid w:val="00D47649"/>
    <w:rsid w:val="00D47815"/>
    <w:rsid w:val="00D479C1"/>
    <w:rsid w:val="00D550F4"/>
    <w:rsid w:val="00D559FE"/>
    <w:rsid w:val="00D6523C"/>
    <w:rsid w:val="00D66829"/>
    <w:rsid w:val="00D80F94"/>
    <w:rsid w:val="00D87C44"/>
    <w:rsid w:val="00D90935"/>
    <w:rsid w:val="00D91657"/>
    <w:rsid w:val="00D92159"/>
    <w:rsid w:val="00D92F03"/>
    <w:rsid w:val="00DA0CA0"/>
    <w:rsid w:val="00DA1AC6"/>
    <w:rsid w:val="00DA1C62"/>
    <w:rsid w:val="00DA291B"/>
    <w:rsid w:val="00DA373F"/>
    <w:rsid w:val="00DA3FE8"/>
    <w:rsid w:val="00DA5AB1"/>
    <w:rsid w:val="00DA6225"/>
    <w:rsid w:val="00DB0D01"/>
    <w:rsid w:val="00DB4219"/>
    <w:rsid w:val="00DB525B"/>
    <w:rsid w:val="00DB7604"/>
    <w:rsid w:val="00DC7CB7"/>
    <w:rsid w:val="00DD0356"/>
    <w:rsid w:val="00DD57E6"/>
    <w:rsid w:val="00DD7004"/>
    <w:rsid w:val="00DE0C90"/>
    <w:rsid w:val="00DE0EA5"/>
    <w:rsid w:val="00DE184D"/>
    <w:rsid w:val="00DE2FC9"/>
    <w:rsid w:val="00DE6492"/>
    <w:rsid w:val="00DE7AB8"/>
    <w:rsid w:val="00DF1EA7"/>
    <w:rsid w:val="00DF24C4"/>
    <w:rsid w:val="00DF6FED"/>
    <w:rsid w:val="00E01023"/>
    <w:rsid w:val="00E019B4"/>
    <w:rsid w:val="00E10669"/>
    <w:rsid w:val="00E10E77"/>
    <w:rsid w:val="00E14F86"/>
    <w:rsid w:val="00E153C1"/>
    <w:rsid w:val="00E227B8"/>
    <w:rsid w:val="00E23936"/>
    <w:rsid w:val="00E24429"/>
    <w:rsid w:val="00E30C20"/>
    <w:rsid w:val="00E40A36"/>
    <w:rsid w:val="00E43023"/>
    <w:rsid w:val="00E456B4"/>
    <w:rsid w:val="00E478F8"/>
    <w:rsid w:val="00E52BEF"/>
    <w:rsid w:val="00E56487"/>
    <w:rsid w:val="00E56F5E"/>
    <w:rsid w:val="00E57229"/>
    <w:rsid w:val="00E57FB2"/>
    <w:rsid w:val="00E6176E"/>
    <w:rsid w:val="00E638E4"/>
    <w:rsid w:val="00E65067"/>
    <w:rsid w:val="00E6695F"/>
    <w:rsid w:val="00E67534"/>
    <w:rsid w:val="00E70FCA"/>
    <w:rsid w:val="00E71A32"/>
    <w:rsid w:val="00E76743"/>
    <w:rsid w:val="00E82F16"/>
    <w:rsid w:val="00E832BA"/>
    <w:rsid w:val="00E83663"/>
    <w:rsid w:val="00E901B9"/>
    <w:rsid w:val="00E90CE3"/>
    <w:rsid w:val="00E92450"/>
    <w:rsid w:val="00E94586"/>
    <w:rsid w:val="00E94BD1"/>
    <w:rsid w:val="00E9571E"/>
    <w:rsid w:val="00E97688"/>
    <w:rsid w:val="00E97FB6"/>
    <w:rsid w:val="00EA04A0"/>
    <w:rsid w:val="00EA349D"/>
    <w:rsid w:val="00EA410A"/>
    <w:rsid w:val="00EA52CD"/>
    <w:rsid w:val="00EA64E1"/>
    <w:rsid w:val="00EB30CB"/>
    <w:rsid w:val="00EB469D"/>
    <w:rsid w:val="00EC451A"/>
    <w:rsid w:val="00EC4BEC"/>
    <w:rsid w:val="00ED1013"/>
    <w:rsid w:val="00ED7CE1"/>
    <w:rsid w:val="00EE3AC7"/>
    <w:rsid w:val="00EE40E9"/>
    <w:rsid w:val="00EF27EB"/>
    <w:rsid w:val="00F0020F"/>
    <w:rsid w:val="00F00F6F"/>
    <w:rsid w:val="00F03E1E"/>
    <w:rsid w:val="00F04D1F"/>
    <w:rsid w:val="00F05920"/>
    <w:rsid w:val="00F0757C"/>
    <w:rsid w:val="00F1001C"/>
    <w:rsid w:val="00F11337"/>
    <w:rsid w:val="00F12CE8"/>
    <w:rsid w:val="00F13ECD"/>
    <w:rsid w:val="00F147DC"/>
    <w:rsid w:val="00F153D0"/>
    <w:rsid w:val="00F162FC"/>
    <w:rsid w:val="00F209D2"/>
    <w:rsid w:val="00F216B2"/>
    <w:rsid w:val="00F21C5B"/>
    <w:rsid w:val="00F23109"/>
    <w:rsid w:val="00F24808"/>
    <w:rsid w:val="00F25B57"/>
    <w:rsid w:val="00F33617"/>
    <w:rsid w:val="00F3478F"/>
    <w:rsid w:val="00F35BF4"/>
    <w:rsid w:val="00F431E6"/>
    <w:rsid w:val="00F449ED"/>
    <w:rsid w:val="00F45F3C"/>
    <w:rsid w:val="00F5378D"/>
    <w:rsid w:val="00F636C9"/>
    <w:rsid w:val="00F645C3"/>
    <w:rsid w:val="00F67A7B"/>
    <w:rsid w:val="00F7104D"/>
    <w:rsid w:val="00F71A47"/>
    <w:rsid w:val="00F759D1"/>
    <w:rsid w:val="00F80822"/>
    <w:rsid w:val="00F81970"/>
    <w:rsid w:val="00F9006A"/>
    <w:rsid w:val="00F920F1"/>
    <w:rsid w:val="00F944C9"/>
    <w:rsid w:val="00F95DFF"/>
    <w:rsid w:val="00F96115"/>
    <w:rsid w:val="00FA2771"/>
    <w:rsid w:val="00FA27AC"/>
    <w:rsid w:val="00FA2FCF"/>
    <w:rsid w:val="00FA3B4F"/>
    <w:rsid w:val="00FA3EF0"/>
    <w:rsid w:val="00FA6B88"/>
    <w:rsid w:val="00FB328C"/>
    <w:rsid w:val="00FB6026"/>
    <w:rsid w:val="00FB7AEC"/>
    <w:rsid w:val="00FC40AD"/>
    <w:rsid w:val="00FC5641"/>
    <w:rsid w:val="00FD3D17"/>
    <w:rsid w:val="00FD64E3"/>
    <w:rsid w:val="00FE0183"/>
    <w:rsid w:val="00FE3575"/>
    <w:rsid w:val="00FE4D54"/>
    <w:rsid w:val="00FE60D5"/>
    <w:rsid w:val="00FE6392"/>
    <w:rsid w:val="00FE63F5"/>
    <w:rsid w:val="00FE6AF1"/>
    <w:rsid w:val="00FF0148"/>
    <w:rsid w:val="00FF0C0D"/>
    <w:rsid w:val="00FF54A7"/>
    <w:rsid w:val="00FF7D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0B32C"/>
  <w15:chartTrackingRefBased/>
  <w15:docId w15:val="{D13A38D3-095A-451F-8EAD-E65BAEC1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0DD"/>
    <w:rPr>
      <w:sz w:val="22"/>
      <w:szCs w:val="22"/>
    </w:rPr>
  </w:style>
  <w:style w:type="paragraph" w:styleId="Titre1">
    <w:name w:val="heading 1"/>
    <w:basedOn w:val="Normal"/>
    <w:next w:val="Normal"/>
    <w:link w:val="Titre1Car"/>
    <w:uiPriority w:val="9"/>
    <w:qFormat/>
    <w:rsid w:val="00A030DD"/>
    <w:pPr>
      <w:keepNext/>
      <w:keepLines/>
      <w:spacing w:before="320"/>
      <w:outlineLvl w:val="0"/>
    </w:pPr>
    <w:rPr>
      <w:rFonts w:ascii="Calibri Light" w:eastAsia="SimSun" w:hAnsi="Calibri Light"/>
      <w:color w:val="2E74B5"/>
      <w:sz w:val="30"/>
      <w:szCs w:val="30"/>
    </w:rPr>
  </w:style>
  <w:style w:type="paragraph" w:styleId="Titre2">
    <w:name w:val="heading 2"/>
    <w:basedOn w:val="Normal"/>
    <w:next w:val="Normal"/>
    <w:link w:val="Titre2Car"/>
    <w:uiPriority w:val="9"/>
    <w:semiHidden/>
    <w:unhideWhenUsed/>
    <w:qFormat/>
    <w:rsid w:val="00A030DD"/>
    <w:pPr>
      <w:keepNext/>
      <w:keepLines/>
      <w:spacing w:before="40"/>
      <w:outlineLvl w:val="1"/>
    </w:pPr>
    <w:rPr>
      <w:rFonts w:ascii="Calibri Light" w:eastAsia="SimSun" w:hAnsi="Calibri Light"/>
      <w:color w:val="C45911"/>
      <w:sz w:val="28"/>
      <w:szCs w:val="28"/>
    </w:rPr>
  </w:style>
  <w:style w:type="paragraph" w:styleId="Titre3">
    <w:name w:val="heading 3"/>
    <w:basedOn w:val="Normal"/>
    <w:next w:val="Normal"/>
    <w:link w:val="Titre3Car"/>
    <w:uiPriority w:val="9"/>
    <w:semiHidden/>
    <w:unhideWhenUsed/>
    <w:qFormat/>
    <w:rsid w:val="00A030DD"/>
    <w:pPr>
      <w:keepNext/>
      <w:keepLines/>
      <w:spacing w:before="40"/>
      <w:outlineLvl w:val="2"/>
    </w:pPr>
    <w:rPr>
      <w:rFonts w:ascii="Calibri Light" w:eastAsia="SimSun" w:hAnsi="Calibri Light"/>
      <w:color w:val="538135"/>
      <w:sz w:val="26"/>
      <w:szCs w:val="26"/>
    </w:rPr>
  </w:style>
  <w:style w:type="paragraph" w:styleId="Titre4">
    <w:name w:val="heading 4"/>
    <w:basedOn w:val="Normal"/>
    <w:next w:val="Normal"/>
    <w:link w:val="Titre4Car"/>
    <w:uiPriority w:val="9"/>
    <w:semiHidden/>
    <w:unhideWhenUsed/>
    <w:qFormat/>
    <w:rsid w:val="00A030DD"/>
    <w:pPr>
      <w:keepNext/>
      <w:keepLines/>
      <w:spacing w:before="40"/>
      <w:outlineLvl w:val="3"/>
    </w:pPr>
    <w:rPr>
      <w:rFonts w:ascii="Calibri Light" w:eastAsia="SimSun" w:hAnsi="Calibri Light"/>
      <w:i/>
      <w:iCs/>
      <w:color w:val="2F5496"/>
      <w:sz w:val="25"/>
      <w:szCs w:val="25"/>
    </w:rPr>
  </w:style>
  <w:style w:type="paragraph" w:styleId="Titre5">
    <w:name w:val="heading 5"/>
    <w:basedOn w:val="Normal"/>
    <w:next w:val="Normal"/>
    <w:link w:val="Titre5Car"/>
    <w:uiPriority w:val="9"/>
    <w:semiHidden/>
    <w:unhideWhenUsed/>
    <w:qFormat/>
    <w:rsid w:val="00A030DD"/>
    <w:pPr>
      <w:keepNext/>
      <w:keepLines/>
      <w:spacing w:before="40"/>
      <w:outlineLvl w:val="4"/>
    </w:pPr>
    <w:rPr>
      <w:rFonts w:ascii="Calibri Light" w:eastAsia="SimSun" w:hAnsi="Calibri Light"/>
      <w:i/>
      <w:iCs/>
      <w:color w:val="833C0B"/>
      <w:sz w:val="24"/>
      <w:szCs w:val="24"/>
    </w:rPr>
  </w:style>
  <w:style w:type="paragraph" w:styleId="Titre6">
    <w:name w:val="heading 6"/>
    <w:basedOn w:val="Normal"/>
    <w:next w:val="Normal"/>
    <w:link w:val="Titre6Car"/>
    <w:uiPriority w:val="9"/>
    <w:semiHidden/>
    <w:unhideWhenUsed/>
    <w:qFormat/>
    <w:rsid w:val="00A030DD"/>
    <w:pPr>
      <w:keepNext/>
      <w:keepLines/>
      <w:spacing w:before="40"/>
      <w:outlineLvl w:val="5"/>
    </w:pPr>
    <w:rPr>
      <w:rFonts w:ascii="Calibri Light" w:eastAsia="SimSun" w:hAnsi="Calibri Light"/>
      <w:i/>
      <w:iCs/>
      <w:color w:val="385623"/>
      <w:sz w:val="23"/>
      <w:szCs w:val="23"/>
    </w:rPr>
  </w:style>
  <w:style w:type="paragraph" w:styleId="Titre7">
    <w:name w:val="heading 7"/>
    <w:basedOn w:val="Normal"/>
    <w:next w:val="Normal"/>
    <w:link w:val="Titre7Car"/>
    <w:uiPriority w:val="9"/>
    <w:semiHidden/>
    <w:unhideWhenUsed/>
    <w:qFormat/>
    <w:rsid w:val="00A030DD"/>
    <w:pPr>
      <w:keepNext/>
      <w:keepLines/>
      <w:spacing w:before="40"/>
      <w:outlineLvl w:val="6"/>
    </w:pPr>
    <w:rPr>
      <w:rFonts w:ascii="Calibri Light" w:eastAsia="SimSun" w:hAnsi="Calibri Light"/>
      <w:color w:val="1F4E79"/>
    </w:rPr>
  </w:style>
  <w:style w:type="paragraph" w:styleId="Titre8">
    <w:name w:val="heading 8"/>
    <w:basedOn w:val="Normal"/>
    <w:next w:val="Normal"/>
    <w:link w:val="Titre8Car"/>
    <w:uiPriority w:val="9"/>
    <w:semiHidden/>
    <w:unhideWhenUsed/>
    <w:qFormat/>
    <w:rsid w:val="00A030DD"/>
    <w:pPr>
      <w:keepNext/>
      <w:keepLines/>
      <w:spacing w:before="40"/>
      <w:outlineLvl w:val="7"/>
    </w:pPr>
    <w:rPr>
      <w:rFonts w:ascii="Calibri Light" w:eastAsia="SimSun" w:hAnsi="Calibri Light"/>
      <w:color w:val="833C0B"/>
      <w:sz w:val="21"/>
      <w:szCs w:val="21"/>
    </w:rPr>
  </w:style>
  <w:style w:type="paragraph" w:styleId="Titre9">
    <w:name w:val="heading 9"/>
    <w:basedOn w:val="Normal"/>
    <w:next w:val="Normal"/>
    <w:link w:val="Titre9Car"/>
    <w:uiPriority w:val="9"/>
    <w:semiHidden/>
    <w:unhideWhenUsed/>
    <w:qFormat/>
    <w:rsid w:val="00A030DD"/>
    <w:pPr>
      <w:keepNext/>
      <w:keepLines/>
      <w:spacing w:before="40"/>
      <w:outlineLvl w:val="8"/>
    </w:pPr>
    <w:rPr>
      <w:rFonts w:ascii="Calibri Light" w:eastAsia="SimSun" w:hAnsi="Calibri Light"/>
      <w:color w:val="3856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897D4A"/>
    <w:pPr>
      <w:spacing w:before="100" w:beforeAutospacing="1" w:after="100" w:afterAutospacing="1"/>
      <w:jc w:val="both"/>
    </w:pPr>
    <w:rPr>
      <w:rFonts w:ascii="Verdana" w:eastAsia="Arial Unicode MS" w:hAnsi="Verdana" w:cs="Arial Unicode MS"/>
      <w:sz w:val="17"/>
      <w:szCs w:val="17"/>
      <w:lang w:eastAsia="fr-FR"/>
    </w:rPr>
  </w:style>
  <w:style w:type="character" w:styleId="Lienhypertexte">
    <w:name w:val="Hyperlink"/>
    <w:rsid w:val="00897D4A"/>
    <w:rPr>
      <w:color w:val="0000FF"/>
      <w:u w:val="single"/>
    </w:rPr>
  </w:style>
  <w:style w:type="character" w:styleId="lev">
    <w:name w:val="Strong"/>
    <w:uiPriority w:val="22"/>
    <w:qFormat/>
    <w:rsid w:val="00A030DD"/>
    <w:rPr>
      <w:b/>
      <w:bCs/>
    </w:rPr>
  </w:style>
  <w:style w:type="paragraph" w:styleId="Textedebulles">
    <w:name w:val="Balloon Text"/>
    <w:basedOn w:val="Normal"/>
    <w:semiHidden/>
    <w:rsid w:val="00897D4A"/>
    <w:rPr>
      <w:rFonts w:ascii="Tahoma" w:hAnsi="Tahoma" w:cs="Tahoma"/>
      <w:sz w:val="16"/>
      <w:szCs w:val="16"/>
    </w:rPr>
  </w:style>
  <w:style w:type="paragraph" w:styleId="Paragraphedeliste">
    <w:name w:val="List Paragraph"/>
    <w:basedOn w:val="Normal"/>
    <w:uiPriority w:val="34"/>
    <w:qFormat/>
    <w:rsid w:val="00EF27EB"/>
    <w:pPr>
      <w:ind w:left="720"/>
      <w:contextualSpacing/>
    </w:pPr>
  </w:style>
  <w:style w:type="paragraph" w:styleId="Retraitcorpsdetexte">
    <w:name w:val="Body Text Indent"/>
    <w:basedOn w:val="Normal"/>
    <w:link w:val="RetraitcorpsdetexteCar"/>
    <w:rsid w:val="00DE0EA5"/>
    <w:pPr>
      <w:ind w:left="705" w:hanging="345"/>
    </w:pPr>
    <w:rPr>
      <w:rFonts w:ascii="Arial" w:hAnsi="Arial"/>
      <w:lang w:val="x-none" w:eastAsia="fr-FR"/>
    </w:rPr>
  </w:style>
  <w:style w:type="character" w:customStyle="1" w:styleId="RetraitcorpsdetexteCar">
    <w:name w:val="Retrait corps de texte Car"/>
    <w:link w:val="Retraitcorpsdetexte"/>
    <w:rsid w:val="00DE0EA5"/>
    <w:rPr>
      <w:rFonts w:ascii="Arial" w:hAnsi="Arial" w:cs="Arial"/>
      <w:sz w:val="22"/>
      <w:szCs w:val="24"/>
      <w:lang w:eastAsia="fr-FR"/>
    </w:rPr>
  </w:style>
  <w:style w:type="paragraph" w:styleId="Corpsdetexte">
    <w:name w:val="Body Text"/>
    <w:basedOn w:val="Normal"/>
    <w:link w:val="CorpsdetexteCar"/>
    <w:rsid w:val="00DE0EA5"/>
    <w:rPr>
      <w:rFonts w:ascii="Arial" w:hAnsi="Arial"/>
      <w:sz w:val="20"/>
      <w:lang w:val="x-none" w:eastAsia="fr-FR"/>
    </w:rPr>
  </w:style>
  <w:style w:type="character" w:customStyle="1" w:styleId="CorpsdetexteCar">
    <w:name w:val="Corps de texte Car"/>
    <w:link w:val="Corpsdetexte"/>
    <w:rsid w:val="00DE0EA5"/>
    <w:rPr>
      <w:rFonts w:ascii="Arial" w:hAnsi="Arial" w:cs="Arial"/>
      <w:szCs w:val="24"/>
      <w:lang w:eastAsia="fr-FR"/>
    </w:rPr>
  </w:style>
  <w:style w:type="paragraph" w:styleId="Retraitcorpsdetexte3">
    <w:name w:val="Body Text Indent 3"/>
    <w:basedOn w:val="Normal"/>
    <w:link w:val="Retraitcorpsdetexte3Car"/>
    <w:rsid w:val="00DE0EA5"/>
    <w:pPr>
      <w:ind w:left="4245" w:hanging="4245"/>
    </w:pPr>
    <w:rPr>
      <w:lang w:val="x-none" w:eastAsia="fr-FR"/>
    </w:rPr>
  </w:style>
  <w:style w:type="character" w:customStyle="1" w:styleId="Retraitcorpsdetexte3Car">
    <w:name w:val="Retrait corps de texte 3 Car"/>
    <w:link w:val="Retraitcorpsdetexte3"/>
    <w:rsid w:val="00DE0EA5"/>
    <w:rPr>
      <w:sz w:val="24"/>
      <w:szCs w:val="24"/>
      <w:lang w:eastAsia="fr-FR"/>
    </w:rPr>
  </w:style>
  <w:style w:type="paragraph" w:styleId="En-tte">
    <w:name w:val="header"/>
    <w:basedOn w:val="Normal"/>
    <w:link w:val="En-tteCar"/>
    <w:rsid w:val="00340385"/>
    <w:pPr>
      <w:tabs>
        <w:tab w:val="center" w:pos="4320"/>
        <w:tab w:val="right" w:pos="8640"/>
      </w:tabs>
    </w:pPr>
  </w:style>
  <w:style w:type="character" w:customStyle="1" w:styleId="En-tteCar">
    <w:name w:val="En-tête Car"/>
    <w:link w:val="En-tte"/>
    <w:rsid w:val="00340385"/>
    <w:rPr>
      <w:sz w:val="24"/>
      <w:szCs w:val="24"/>
    </w:rPr>
  </w:style>
  <w:style w:type="paragraph" w:styleId="Pieddepage">
    <w:name w:val="footer"/>
    <w:basedOn w:val="Normal"/>
    <w:link w:val="PieddepageCar"/>
    <w:rsid w:val="00340385"/>
    <w:pPr>
      <w:tabs>
        <w:tab w:val="center" w:pos="4320"/>
        <w:tab w:val="right" w:pos="8640"/>
      </w:tabs>
    </w:pPr>
  </w:style>
  <w:style w:type="character" w:customStyle="1" w:styleId="PieddepageCar">
    <w:name w:val="Pied de page Car"/>
    <w:link w:val="Pieddepage"/>
    <w:rsid w:val="00340385"/>
    <w:rPr>
      <w:sz w:val="24"/>
      <w:szCs w:val="24"/>
    </w:rPr>
  </w:style>
  <w:style w:type="table" w:styleId="Grilledutableau">
    <w:name w:val="Table Grid"/>
    <w:basedOn w:val="TableauNormal"/>
    <w:rsid w:val="007B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1">
    <w:name w:val="Table Standard1"/>
    <w:basedOn w:val="TableauNormal"/>
    <w:next w:val="Grilledutableau"/>
    <w:uiPriority w:val="59"/>
    <w:rsid w:val="00751C09"/>
    <w:pPr>
      <w:numPr>
        <w:ilvl w:val="2"/>
        <w:numId w:val="5"/>
      </w:numPr>
      <w:ind w:left="0" w:firstLine="0"/>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uiPriority w:val="9"/>
    <w:rsid w:val="00A030DD"/>
    <w:rPr>
      <w:rFonts w:ascii="Calibri Light" w:eastAsia="SimSun" w:hAnsi="Calibri Light" w:cs="Times New Roman"/>
      <w:color w:val="2E74B5"/>
      <w:sz w:val="30"/>
      <w:szCs w:val="30"/>
    </w:rPr>
  </w:style>
  <w:style w:type="character" w:customStyle="1" w:styleId="Titre2Car">
    <w:name w:val="Titre 2 Car"/>
    <w:link w:val="Titre2"/>
    <w:uiPriority w:val="9"/>
    <w:semiHidden/>
    <w:rsid w:val="00A030DD"/>
    <w:rPr>
      <w:rFonts w:ascii="Calibri Light" w:eastAsia="SimSun" w:hAnsi="Calibri Light" w:cs="Times New Roman"/>
      <w:color w:val="C45911"/>
      <w:sz w:val="28"/>
      <w:szCs w:val="28"/>
    </w:rPr>
  </w:style>
  <w:style w:type="character" w:customStyle="1" w:styleId="Titre3Car">
    <w:name w:val="Titre 3 Car"/>
    <w:link w:val="Titre3"/>
    <w:uiPriority w:val="9"/>
    <w:semiHidden/>
    <w:rsid w:val="00A030DD"/>
    <w:rPr>
      <w:rFonts w:ascii="Calibri Light" w:eastAsia="SimSun" w:hAnsi="Calibri Light" w:cs="Times New Roman"/>
      <w:color w:val="538135"/>
      <w:sz w:val="26"/>
      <w:szCs w:val="26"/>
    </w:rPr>
  </w:style>
  <w:style w:type="character" w:customStyle="1" w:styleId="Titre4Car">
    <w:name w:val="Titre 4 Car"/>
    <w:link w:val="Titre4"/>
    <w:uiPriority w:val="9"/>
    <w:semiHidden/>
    <w:rsid w:val="00A030DD"/>
    <w:rPr>
      <w:rFonts w:ascii="Calibri Light" w:eastAsia="SimSun" w:hAnsi="Calibri Light" w:cs="Times New Roman"/>
      <w:i/>
      <w:iCs/>
      <w:color w:val="2F5496"/>
      <w:sz w:val="25"/>
      <w:szCs w:val="25"/>
    </w:rPr>
  </w:style>
  <w:style w:type="character" w:customStyle="1" w:styleId="Titre5Car">
    <w:name w:val="Titre 5 Car"/>
    <w:link w:val="Titre5"/>
    <w:uiPriority w:val="9"/>
    <w:semiHidden/>
    <w:rsid w:val="00A030DD"/>
    <w:rPr>
      <w:rFonts w:ascii="Calibri Light" w:eastAsia="SimSun" w:hAnsi="Calibri Light" w:cs="Times New Roman"/>
      <w:i/>
      <w:iCs/>
      <w:color w:val="833C0B"/>
      <w:sz w:val="24"/>
      <w:szCs w:val="24"/>
    </w:rPr>
  </w:style>
  <w:style w:type="character" w:customStyle="1" w:styleId="Titre6Car">
    <w:name w:val="Titre 6 Car"/>
    <w:link w:val="Titre6"/>
    <w:uiPriority w:val="9"/>
    <w:semiHidden/>
    <w:rsid w:val="00A030DD"/>
    <w:rPr>
      <w:rFonts w:ascii="Calibri Light" w:eastAsia="SimSun" w:hAnsi="Calibri Light" w:cs="Times New Roman"/>
      <w:i/>
      <w:iCs/>
      <w:color w:val="385623"/>
      <w:sz w:val="23"/>
      <w:szCs w:val="23"/>
    </w:rPr>
  </w:style>
  <w:style w:type="character" w:customStyle="1" w:styleId="Titre7Car">
    <w:name w:val="Titre 7 Car"/>
    <w:link w:val="Titre7"/>
    <w:uiPriority w:val="9"/>
    <w:semiHidden/>
    <w:rsid w:val="00A030DD"/>
    <w:rPr>
      <w:rFonts w:ascii="Calibri Light" w:eastAsia="SimSun" w:hAnsi="Calibri Light" w:cs="Times New Roman"/>
      <w:color w:val="1F4E79"/>
    </w:rPr>
  </w:style>
  <w:style w:type="character" w:customStyle="1" w:styleId="Titre8Car">
    <w:name w:val="Titre 8 Car"/>
    <w:link w:val="Titre8"/>
    <w:uiPriority w:val="9"/>
    <w:semiHidden/>
    <w:rsid w:val="00A030DD"/>
    <w:rPr>
      <w:rFonts w:ascii="Calibri Light" w:eastAsia="SimSun" w:hAnsi="Calibri Light" w:cs="Times New Roman"/>
      <w:color w:val="833C0B"/>
      <w:sz w:val="21"/>
      <w:szCs w:val="21"/>
    </w:rPr>
  </w:style>
  <w:style w:type="character" w:customStyle="1" w:styleId="Titre9Car">
    <w:name w:val="Titre 9 Car"/>
    <w:link w:val="Titre9"/>
    <w:uiPriority w:val="9"/>
    <w:semiHidden/>
    <w:rsid w:val="00A030DD"/>
    <w:rPr>
      <w:rFonts w:ascii="Calibri Light" w:eastAsia="SimSun" w:hAnsi="Calibri Light" w:cs="Times New Roman"/>
      <w:color w:val="385623"/>
    </w:rPr>
  </w:style>
  <w:style w:type="paragraph" w:styleId="Lgende">
    <w:name w:val="caption"/>
    <w:basedOn w:val="Normal"/>
    <w:next w:val="Normal"/>
    <w:uiPriority w:val="35"/>
    <w:semiHidden/>
    <w:unhideWhenUsed/>
    <w:qFormat/>
    <w:rsid w:val="00A030DD"/>
    <w:rPr>
      <w:b/>
      <w:bCs/>
      <w:smallCaps/>
      <w:color w:val="5B9BD5"/>
      <w:spacing w:val="6"/>
    </w:rPr>
  </w:style>
  <w:style w:type="paragraph" w:styleId="Titre">
    <w:name w:val="Title"/>
    <w:basedOn w:val="Normal"/>
    <w:next w:val="Normal"/>
    <w:link w:val="TitreCar"/>
    <w:uiPriority w:val="10"/>
    <w:qFormat/>
    <w:rsid w:val="00A030DD"/>
    <w:pPr>
      <w:contextualSpacing/>
    </w:pPr>
    <w:rPr>
      <w:rFonts w:ascii="Calibri Light" w:eastAsia="SimSun" w:hAnsi="Calibri Light"/>
      <w:color w:val="2E74B5"/>
      <w:spacing w:val="-10"/>
      <w:sz w:val="52"/>
      <w:szCs w:val="52"/>
    </w:rPr>
  </w:style>
  <w:style w:type="character" w:customStyle="1" w:styleId="TitreCar">
    <w:name w:val="Titre Car"/>
    <w:link w:val="Titre"/>
    <w:uiPriority w:val="10"/>
    <w:rsid w:val="00A030DD"/>
    <w:rPr>
      <w:rFonts w:ascii="Calibri Light" w:eastAsia="SimSun" w:hAnsi="Calibri Light" w:cs="Times New Roman"/>
      <w:color w:val="2E74B5"/>
      <w:spacing w:val="-10"/>
      <w:sz w:val="52"/>
      <w:szCs w:val="52"/>
    </w:rPr>
  </w:style>
  <w:style w:type="paragraph" w:styleId="Sous-titre">
    <w:name w:val="Subtitle"/>
    <w:basedOn w:val="Normal"/>
    <w:next w:val="Normal"/>
    <w:link w:val="Sous-titreCar"/>
    <w:uiPriority w:val="11"/>
    <w:qFormat/>
    <w:rsid w:val="00A030DD"/>
    <w:pPr>
      <w:numPr>
        <w:ilvl w:val="1"/>
      </w:numPr>
    </w:pPr>
    <w:rPr>
      <w:rFonts w:ascii="Calibri Light" w:eastAsia="SimSun" w:hAnsi="Calibri Light"/>
    </w:rPr>
  </w:style>
  <w:style w:type="character" w:customStyle="1" w:styleId="Sous-titreCar">
    <w:name w:val="Sous-titre Car"/>
    <w:link w:val="Sous-titre"/>
    <w:uiPriority w:val="11"/>
    <w:rsid w:val="00A030DD"/>
    <w:rPr>
      <w:rFonts w:ascii="Calibri Light" w:eastAsia="SimSun" w:hAnsi="Calibri Light" w:cs="Times New Roman"/>
    </w:rPr>
  </w:style>
  <w:style w:type="character" w:styleId="Accentuation">
    <w:name w:val="Emphasis"/>
    <w:uiPriority w:val="20"/>
    <w:qFormat/>
    <w:rsid w:val="00A030DD"/>
    <w:rPr>
      <w:i/>
      <w:iCs/>
    </w:rPr>
  </w:style>
  <w:style w:type="paragraph" w:styleId="Sansinterligne">
    <w:name w:val="No Spacing"/>
    <w:uiPriority w:val="1"/>
    <w:qFormat/>
    <w:rsid w:val="00A030DD"/>
    <w:rPr>
      <w:sz w:val="22"/>
      <w:szCs w:val="22"/>
    </w:rPr>
  </w:style>
  <w:style w:type="paragraph" w:styleId="Citation">
    <w:name w:val="Quote"/>
    <w:basedOn w:val="Normal"/>
    <w:next w:val="Normal"/>
    <w:link w:val="CitationCar"/>
    <w:uiPriority w:val="29"/>
    <w:qFormat/>
    <w:rsid w:val="00A030DD"/>
    <w:pPr>
      <w:spacing w:before="120"/>
      <w:ind w:left="720" w:right="720"/>
      <w:jc w:val="center"/>
    </w:pPr>
    <w:rPr>
      <w:i/>
      <w:iCs/>
    </w:rPr>
  </w:style>
  <w:style w:type="character" w:customStyle="1" w:styleId="CitationCar">
    <w:name w:val="Citation Car"/>
    <w:link w:val="Citation"/>
    <w:uiPriority w:val="29"/>
    <w:rsid w:val="00A030DD"/>
    <w:rPr>
      <w:i/>
      <w:iCs/>
    </w:rPr>
  </w:style>
  <w:style w:type="paragraph" w:styleId="Citationintense">
    <w:name w:val="Intense Quote"/>
    <w:basedOn w:val="Normal"/>
    <w:next w:val="Normal"/>
    <w:link w:val="CitationintenseCar"/>
    <w:uiPriority w:val="30"/>
    <w:qFormat/>
    <w:rsid w:val="00A030DD"/>
    <w:pPr>
      <w:spacing w:before="120" w:line="300" w:lineRule="auto"/>
      <w:ind w:left="576" w:right="576"/>
      <w:jc w:val="center"/>
    </w:pPr>
    <w:rPr>
      <w:rFonts w:ascii="Calibri Light" w:eastAsia="SimSun" w:hAnsi="Calibri Light"/>
      <w:color w:val="5B9BD5"/>
      <w:sz w:val="24"/>
      <w:szCs w:val="24"/>
    </w:rPr>
  </w:style>
  <w:style w:type="character" w:customStyle="1" w:styleId="CitationintenseCar">
    <w:name w:val="Citation intense Car"/>
    <w:link w:val="Citationintense"/>
    <w:uiPriority w:val="30"/>
    <w:rsid w:val="00A030DD"/>
    <w:rPr>
      <w:rFonts w:ascii="Calibri Light" w:eastAsia="SimSun" w:hAnsi="Calibri Light" w:cs="Times New Roman"/>
      <w:color w:val="5B9BD5"/>
      <w:sz w:val="24"/>
      <w:szCs w:val="24"/>
    </w:rPr>
  </w:style>
  <w:style w:type="character" w:styleId="Accentuationlgre">
    <w:name w:val="Subtle Emphasis"/>
    <w:uiPriority w:val="19"/>
    <w:qFormat/>
    <w:rsid w:val="00A030DD"/>
    <w:rPr>
      <w:i/>
      <w:iCs/>
      <w:color w:val="404040"/>
    </w:rPr>
  </w:style>
  <w:style w:type="character" w:styleId="Accentuationintense">
    <w:name w:val="Intense Emphasis"/>
    <w:uiPriority w:val="21"/>
    <w:qFormat/>
    <w:rsid w:val="00A030DD"/>
    <w:rPr>
      <w:b w:val="0"/>
      <w:bCs w:val="0"/>
      <w:i/>
      <w:iCs/>
      <w:color w:val="5B9BD5"/>
    </w:rPr>
  </w:style>
  <w:style w:type="character" w:styleId="Rfrencelgre">
    <w:name w:val="Subtle Reference"/>
    <w:uiPriority w:val="31"/>
    <w:qFormat/>
    <w:rsid w:val="00A030DD"/>
    <w:rPr>
      <w:smallCaps/>
      <w:color w:val="404040"/>
      <w:u w:val="single" w:color="7F7F7F"/>
    </w:rPr>
  </w:style>
  <w:style w:type="character" w:styleId="Rfrenceintense">
    <w:name w:val="Intense Reference"/>
    <w:uiPriority w:val="32"/>
    <w:qFormat/>
    <w:rsid w:val="00A030DD"/>
    <w:rPr>
      <w:b/>
      <w:bCs/>
      <w:smallCaps/>
      <w:color w:val="5B9BD5"/>
      <w:spacing w:val="5"/>
      <w:u w:val="single"/>
    </w:rPr>
  </w:style>
  <w:style w:type="character" w:styleId="Titredulivre">
    <w:name w:val="Book Title"/>
    <w:uiPriority w:val="33"/>
    <w:qFormat/>
    <w:rsid w:val="00A030DD"/>
    <w:rPr>
      <w:b/>
      <w:bCs/>
      <w:smallCaps/>
    </w:rPr>
  </w:style>
  <w:style w:type="paragraph" w:styleId="En-ttedetabledesmatires">
    <w:name w:val="TOC Heading"/>
    <w:basedOn w:val="Titre1"/>
    <w:next w:val="Normal"/>
    <w:uiPriority w:val="39"/>
    <w:semiHidden/>
    <w:unhideWhenUsed/>
    <w:qFormat/>
    <w:rsid w:val="00A030DD"/>
    <w:pPr>
      <w:outlineLvl w:val="9"/>
    </w:pPr>
  </w:style>
  <w:style w:type="numbering" w:customStyle="1" w:styleId="Style1">
    <w:name w:val="Style1"/>
    <w:uiPriority w:val="99"/>
    <w:rsid w:val="006F34C1"/>
    <w:pPr>
      <w:numPr>
        <w:numId w:val="6"/>
      </w:numPr>
    </w:pPr>
  </w:style>
  <w:style w:type="character" w:styleId="Mentionnonrsolue">
    <w:name w:val="Unresolved Mention"/>
    <w:basedOn w:val="Policepardfaut"/>
    <w:uiPriority w:val="99"/>
    <w:semiHidden/>
    <w:unhideWhenUsed/>
    <w:rsid w:val="008E3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o.org/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nb.ca/content/dam/gnb/Departments/ed/pdf/K12/policies-politiques/f/322F.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41634C88AEE4A906D0BF452B15872" ma:contentTypeVersion="4" ma:contentTypeDescription="Crée un document." ma:contentTypeScope="" ma:versionID="19ef98e6bb81d735cbc051cf880fb07d">
  <xsd:schema xmlns:xsd="http://www.w3.org/2001/XMLSchema" xmlns:xs="http://www.w3.org/2001/XMLSchema" xmlns:p="http://schemas.microsoft.com/office/2006/metadata/properties" xmlns:ns2="540536ff-6531-4e7c-9b85-d32fccb52dac" xmlns:ns3="8161800a-6e74-4379-8737-1c39947ad800" targetNamespace="http://schemas.microsoft.com/office/2006/metadata/properties" ma:root="true" ma:fieldsID="de29b97ffec653077517f839b7fa9981" ns2:_="" ns3:_="">
    <xsd:import namespace="540536ff-6531-4e7c-9b85-d32fccb52dac"/>
    <xsd:import namespace="8161800a-6e74-4379-8737-1c39947ad8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536ff-6531-4e7c-9b85-d32fccb52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61800a-6e74-4379-8737-1c39947ad80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EE4AF-2BF1-4839-9271-7BBB2F7BE340}">
  <ds:schemaRefs>
    <ds:schemaRef ds:uri="http://schemas.openxmlformats.org/officeDocument/2006/bibliography"/>
  </ds:schemaRefs>
</ds:datastoreItem>
</file>

<file path=customXml/itemProps2.xml><?xml version="1.0" encoding="utf-8"?>
<ds:datastoreItem xmlns:ds="http://schemas.openxmlformats.org/officeDocument/2006/customXml" ds:itemID="{F82C0B1F-053C-4995-8B11-A5E262C84CD6}">
  <ds:schemaRefs>
    <ds:schemaRef ds:uri="http://schemas.microsoft.com/sharepoint/v3/contenttype/forms"/>
  </ds:schemaRefs>
</ds:datastoreItem>
</file>

<file path=customXml/itemProps3.xml><?xml version="1.0" encoding="utf-8"?>
<ds:datastoreItem xmlns:ds="http://schemas.openxmlformats.org/officeDocument/2006/customXml" ds:itemID="{D39D6884-D31B-4C0F-80D5-C2ED43E66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536ff-6531-4e7c-9b85-d32fccb52dac"/>
    <ds:schemaRef ds:uri="8161800a-6e74-4379-8737-1c39947ad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279C8-A406-4215-ACE2-40DC8DF51E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1382</Words>
  <Characters>7606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École Mathieu-Martin</vt:lpstr>
    </vt:vector>
  </TitlesOfParts>
  <Company>District Scolaire 01</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École Mathieu-Martin</dc:title>
  <dc:subject/>
  <dc:creator>Darlene.Gaudet</dc:creator>
  <cp:keywords/>
  <cp:lastModifiedBy>Phillips, Susan Rachelle (DSF-S)</cp:lastModifiedBy>
  <cp:revision>48</cp:revision>
  <cp:lastPrinted>2022-10-11T13:32:00Z</cp:lastPrinted>
  <dcterms:created xsi:type="dcterms:W3CDTF">2022-08-30T14:06:00Z</dcterms:created>
  <dcterms:modified xsi:type="dcterms:W3CDTF">2022-10-15T19:22:00Z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0x010100E9041634C88AEE4A906D0BF452B15872</vt:lpwstr>
  </property>
</Properties>
</file>